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9CD4" w14:textId="77777777" w:rsidR="009B6803" w:rsidRPr="00740B00" w:rsidRDefault="009B6803" w:rsidP="009B6803">
      <w:pPr>
        <w:autoSpaceDE w:val="0"/>
        <w:autoSpaceDN w:val="0"/>
        <w:adjustRightInd w:val="0"/>
        <w:jc w:val="center"/>
        <w:rPr>
          <w:rFonts w:cs="Calibri-Bold"/>
          <w:b/>
          <w:bCs/>
          <w:color w:val="007EC3"/>
          <w:sz w:val="40"/>
          <w:szCs w:val="40"/>
          <w:lang w:val="fr-FR"/>
        </w:rPr>
      </w:pPr>
      <w:r w:rsidRPr="00740B00">
        <w:rPr>
          <w:rFonts w:cs="Calibri-Bold"/>
          <w:b/>
          <w:bCs/>
          <w:color w:val="007EC3"/>
          <w:sz w:val="40"/>
          <w:szCs w:val="40"/>
          <w:lang w:val="fr-FR"/>
        </w:rPr>
        <w:t xml:space="preserve">DOARI </w:t>
      </w:r>
      <w:proofErr w:type="spellStart"/>
      <w:r w:rsidR="00FE7472" w:rsidRPr="00740B00">
        <w:rPr>
          <w:rFonts w:cs="Calibri-Bold"/>
          <w:b/>
          <w:bCs/>
          <w:color w:val="007EC3"/>
          <w:sz w:val="40"/>
          <w:szCs w:val="40"/>
          <w:lang w:val="fr-FR"/>
        </w:rPr>
        <w:t>Comments</w:t>
      </w:r>
      <w:proofErr w:type="spellEnd"/>
      <w:r w:rsidR="00FE7472" w:rsidRPr="00740B00">
        <w:rPr>
          <w:rFonts w:cs="Calibri-Bold"/>
          <w:b/>
          <w:bCs/>
          <w:color w:val="007EC3"/>
          <w:sz w:val="40"/>
          <w:szCs w:val="40"/>
          <w:lang w:val="fr-FR"/>
        </w:rPr>
        <w:t xml:space="preserve"> </w:t>
      </w:r>
      <w:proofErr w:type="spellStart"/>
      <w:r w:rsidR="00FE7472" w:rsidRPr="00740B00">
        <w:rPr>
          <w:rFonts w:cs="Calibri-Bold"/>
          <w:b/>
          <w:bCs/>
          <w:color w:val="007EC3"/>
          <w:sz w:val="40"/>
          <w:szCs w:val="40"/>
          <w:lang w:val="fr-FR"/>
        </w:rPr>
        <w:t>Responses</w:t>
      </w:r>
      <w:proofErr w:type="spellEnd"/>
      <w:r w:rsidR="00FE7472" w:rsidRPr="00740B00">
        <w:rPr>
          <w:rFonts w:cs="Calibri-Bold"/>
          <w:b/>
          <w:bCs/>
          <w:color w:val="007EC3"/>
          <w:sz w:val="40"/>
          <w:szCs w:val="40"/>
          <w:lang w:val="fr-FR"/>
        </w:rPr>
        <w:t xml:space="preserve"> Document</w:t>
      </w:r>
    </w:p>
    <w:p w14:paraId="631B9CD5" w14:textId="634CE088" w:rsidR="009B6803" w:rsidRPr="00740B00" w:rsidRDefault="00033CD5" w:rsidP="00740B00">
      <w:pPr>
        <w:autoSpaceDE w:val="0"/>
        <w:autoSpaceDN w:val="0"/>
        <w:adjustRightInd w:val="0"/>
        <w:jc w:val="center"/>
        <w:rPr>
          <w:lang w:val="fr-FR"/>
        </w:rPr>
      </w:pPr>
      <w:r w:rsidRPr="009B6803">
        <w:rPr>
          <w:rFonts w:cs="Calibri-Bold"/>
          <w:b/>
          <w:bCs/>
          <w:color w:val="007EC3"/>
          <w:sz w:val="40"/>
          <w:szCs w:val="40"/>
        </w:rPr>
        <w:t xml:space="preserve">DOARI </w:t>
      </w:r>
      <w:r>
        <w:rPr>
          <w:rFonts w:cs="Calibri-Bold"/>
          <w:b/>
          <w:bCs/>
          <w:color w:val="007EC3"/>
          <w:sz w:val="40"/>
          <w:szCs w:val="40"/>
        </w:rPr>
        <w:t>2018-01</w:t>
      </w:r>
    </w:p>
    <w:p w14:paraId="631B9CD6" w14:textId="77777777" w:rsidR="009B6803" w:rsidRPr="00740B00" w:rsidRDefault="009B6803" w:rsidP="009B6803">
      <w:pPr>
        <w:autoSpaceDE w:val="0"/>
        <w:autoSpaceDN w:val="0"/>
        <w:adjustRightInd w:val="0"/>
        <w:jc w:val="both"/>
        <w:rPr>
          <w:rFonts w:cs="Calibri-Bold"/>
          <w:b/>
          <w:bCs/>
          <w:color w:val="007EC3"/>
          <w:lang w:val="fr-FR"/>
        </w:rPr>
      </w:pPr>
    </w:p>
    <w:tbl>
      <w:tblPr>
        <w:tblW w:w="5977"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5"/>
        <w:gridCol w:w="1397"/>
        <w:gridCol w:w="982"/>
        <w:gridCol w:w="882"/>
        <w:gridCol w:w="3823"/>
        <w:gridCol w:w="1560"/>
        <w:gridCol w:w="1685"/>
        <w:gridCol w:w="1186"/>
        <w:gridCol w:w="951"/>
        <w:gridCol w:w="2652"/>
      </w:tblGrid>
      <w:tr w:rsidR="00340B1F" w:rsidRPr="00FC6870" w14:paraId="631B9CE1" w14:textId="77777777" w:rsidTr="00340B1F">
        <w:trPr>
          <w:cantSplit/>
          <w:tblHeader/>
        </w:trPr>
        <w:tc>
          <w:tcPr>
            <w:tcW w:w="1221" w:type="pct"/>
            <w:gridSpan w:val="4"/>
            <w:tcBorders>
              <w:top w:val="single" w:sz="12" w:space="0" w:color="auto"/>
              <w:bottom w:val="single" w:sz="4" w:space="0" w:color="auto"/>
            </w:tcBorders>
          </w:tcPr>
          <w:p w14:paraId="631B9CD7"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lastRenderedPageBreak/>
              <w:t>Comment</w:t>
            </w:r>
          </w:p>
        </w:tc>
        <w:tc>
          <w:tcPr>
            <w:tcW w:w="1218" w:type="pct"/>
            <w:vMerge w:val="restart"/>
            <w:tcBorders>
              <w:top w:val="single" w:sz="12" w:space="0" w:color="auto"/>
              <w:bottom w:val="single" w:sz="4" w:space="0" w:color="auto"/>
            </w:tcBorders>
          </w:tcPr>
          <w:p w14:paraId="631B9CD8"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t>Comment summary</w:t>
            </w:r>
          </w:p>
        </w:tc>
        <w:tc>
          <w:tcPr>
            <w:tcW w:w="497" w:type="pct"/>
            <w:vMerge w:val="restart"/>
            <w:tcBorders>
              <w:top w:val="single" w:sz="12" w:space="0" w:color="auto"/>
              <w:bottom w:val="single" w:sz="4" w:space="0" w:color="auto"/>
            </w:tcBorders>
          </w:tcPr>
          <w:p w14:paraId="631B9CD9"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t>Suggested resolution</w:t>
            </w:r>
          </w:p>
        </w:tc>
        <w:tc>
          <w:tcPr>
            <w:tcW w:w="537" w:type="pct"/>
            <w:vMerge w:val="restart"/>
            <w:tcBorders>
              <w:top w:val="single" w:sz="12" w:space="0" w:color="auto"/>
              <w:bottom w:val="single" w:sz="4" w:space="0" w:color="auto"/>
            </w:tcBorders>
          </w:tcPr>
          <w:p w14:paraId="631B9CDA"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proofErr w:type="gramStart"/>
            <w:r w:rsidRPr="00FC6870">
              <w:rPr>
                <w:rFonts w:cs="Verdana"/>
                <w:b/>
                <w:bCs/>
                <w:color w:val="000000"/>
                <w:sz w:val="18"/>
                <w:szCs w:val="18"/>
              </w:rPr>
              <w:t>Comment  is</w:t>
            </w:r>
            <w:proofErr w:type="gramEnd"/>
            <w:r w:rsidRPr="00FC6870">
              <w:rPr>
                <w:rFonts w:cs="Verdana"/>
                <w:b/>
                <w:bCs/>
                <w:color w:val="000000"/>
                <w:sz w:val="18"/>
                <w:szCs w:val="18"/>
              </w:rPr>
              <w:t xml:space="preserve"> an observation (suggestion)*</w:t>
            </w:r>
          </w:p>
        </w:tc>
        <w:tc>
          <w:tcPr>
            <w:tcW w:w="378" w:type="pct"/>
            <w:vMerge w:val="restart"/>
            <w:tcBorders>
              <w:top w:val="single" w:sz="12" w:space="0" w:color="auto"/>
              <w:bottom w:val="single" w:sz="4" w:space="0" w:color="auto"/>
              <w:right w:val="single" w:sz="12" w:space="0" w:color="auto"/>
            </w:tcBorders>
          </w:tcPr>
          <w:p w14:paraId="631B9CDB"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proofErr w:type="gramStart"/>
            <w:r w:rsidRPr="00FC6870">
              <w:rPr>
                <w:rFonts w:cs="Verdana"/>
                <w:b/>
                <w:bCs/>
                <w:color w:val="000000"/>
                <w:sz w:val="18"/>
                <w:szCs w:val="18"/>
              </w:rPr>
              <w:t>Comment  is</w:t>
            </w:r>
            <w:proofErr w:type="gramEnd"/>
            <w:r w:rsidRPr="00FC6870">
              <w:rPr>
                <w:rFonts w:cs="Verdana"/>
                <w:b/>
                <w:bCs/>
                <w:color w:val="000000"/>
                <w:sz w:val="18"/>
                <w:szCs w:val="18"/>
              </w:rPr>
              <w:t xml:space="preserve"> substantive (objection)**</w:t>
            </w:r>
          </w:p>
        </w:tc>
        <w:tc>
          <w:tcPr>
            <w:tcW w:w="303" w:type="pct"/>
            <w:vMerge w:val="restart"/>
            <w:tcBorders>
              <w:top w:val="single" w:sz="12" w:space="0" w:color="auto"/>
              <w:left w:val="single" w:sz="12" w:space="0" w:color="auto"/>
              <w:bottom w:val="single" w:sz="12" w:space="0" w:color="auto"/>
            </w:tcBorders>
            <w:shd w:val="clear" w:color="auto" w:fill="E6E6E6"/>
          </w:tcPr>
          <w:p w14:paraId="631B9CDC"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t>EASA</w:t>
            </w:r>
          </w:p>
          <w:p w14:paraId="631B9CDD"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t>comment disposition</w:t>
            </w:r>
          </w:p>
        </w:tc>
        <w:tc>
          <w:tcPr>
            <w:tcW w:w="845" w:type="pct"/>
            <w:vMerge w:val="restart"/>
            <w:tcBorders>
              <w:top w:val="single" w:sz="12" w:space="0" w:color="auto"/>
              <w:bottom w:val="single" w:sz="12" w:space="0" w:color="auto"/>
            </w:tcBorders>
            <w:shd w:val="clear" w:color="auto" w:fill="E6E6E6"/>
          </w:tcPr>
          <w:p w14:paraId="631B9CDE"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t>EASA response</w:t>
            </w:r>
          </w:p>
          <w:p w14:paraId="631B9CDF" w14:textId="77777777" w:rsidR="00740B00" w:rsidRPr="00FC6870" w:rsidRDefault="00740B00" w:rsidP="003A7A56">
            <w:pPr>
              <w:autoSpaceDE w:val="0"/>
              <w:autoSpaceDN w:val="0"/>
              <w:adjustRightInd w:val="0"/>
              <w:spacing w:before="120" w:after="120"/>
              <w:rPr>
                <w:rFonts w:cs="Verdana"/>
                <w:color w:val="000000"/>
                <w:sz w:val="18"/>
                <w:szCs w:val="18"/>
              </w:rPr>
            </w:pPr>
          </w:p>
          <w:p w14:paraId="631B9CE0" w14:textId="77777777" w:rsidR="00740B00" w:rsidRPr="00FC6870" w:rsidRDefault="00740B00" w:rsidP="003A7A56">
            <w:pPr>
              <w:autoSpaceDE w:val="0"/>
              <w:autoSpaceDN w:val="0"/>
              <w:adjustRightInd w:val="0"/>
              <w:spacing w:before="120" w:after="120"/>
              <w:rPr>
                <w:rFonts w:cs="Verdana"/>
                <w:b/>
                <w:bCs/>
                <w:color w:val="000000"/>
                <w:sz w:val="18"/>
                <w:szCs w:val="18"/>
              </w:rPr>
            </w:pPr>
          </w:p>
        </w:tc>
      </w:tr>
      <w:tr w:rsidR="00340B1F" w:rsidRPr="00FC6870" w14:paraId="631B9CEC" w14:textId="77777777" w:rsidTr="00340B1F">
        <w:trPr>
          <w:cantSplit/>
          <w:tblHeader/>
        </w:trPr>
        <w:tc>
          <w:tcPr>
            <w:tcW w:w="183" w:type="pct"/>
            <w:tcBorders>
              <w:top w:val="single" w:sz="4" w:space="0" w:color="auto"/>
              <w:bottom w:val="single" w:sz="12" w:space="0" w:color="auto"/>
            </w:tcBorders>
          </w:tcPr>
          <w:p w14:paraId="631B9CE2"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t>NR</w:t>
            </w:r>
          </w:p>
        </w:tc>
        <w:tc>
          <w:tcPr>
            <w:tcW w:w="445" w:type="pct"/>
            <w:tcBorders>
              <w:top w:val="single" w:sz="4" w:space="0" w:color="auto"/>
              <w:bottom w:val="single" w:sz="12" w:space="0" w:color="auto"/>
            </w:tcBorders>
          </w:tcPr>
          <w:p w14:paraId="631B9CE3"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t>Author</w:t>
            </w:r>
          </w:p>
        </w:tc>
        <w:tc>
          <w:tcPr>
            <w:tcW w:w="313" w:type="pct"/>
            <w:tcBorders>
              <w:top w:val="single" w:sz="4" w:space="0" w:color="auto"/>
              <w:bottom w:val="single" w:sz="12" w:space="0" w:color="auto"/>
            </w:tcBorders>
            <w:shd w:val="clear" w:color="auto" w:fill="auto"/>
          </w:tcPr>
          <w:p w14:paraId="631B9CE4"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t>Section, table, figure</w:t>
            </w:r>
          </w:p>
        </w:tc>
        <w:tc>
          <w:tcPr>
            <w:tcW w:w="281" w:type="pct"/>
            <w:tcBorders>
              <w:top w:val="single" w:sz="4" w:space="0" w:color="auto"/>
              <w:bottom w:val="single" w:sz="12" w:space="0" w:color="auto"/>
            </w:tcBorders>
            <w:shd w:val="clear" w:color="auto" w:fill="auto"/>
          </w:tcPr>
          <w:p w14:paraId="631B9CE5" w14:textId="77777777" w:rsidR="00740B00" w:rsidRPr="00FC6870" w:rsidRDefault="00740B00" w:rsidP="003A7A56">
            <w:pPr>
              <w:autoSpaceDE w:val="0"/>
              <w:autoSpaceDN w:val="0"/>
              <w:adjustRightInd w:val="0"/>
              <w:spacing w:before="120" w:after="120"/>
              <w:jc w:val="center"/>
              <w:rPr>
                <w:rFonts w:cs="Verdana"/>
                <w:b/>
                <w:bCs/>
                <w:color w:val="000000"/>
                <w:sz w:val="18"/>
                <w:szCs w:val="18"/>
              </w:rPr>
            </w:pPr>
            <w:r w:rsidRPr="00FC6870">
              <w:rPr>
                <w:rFonts w:cs="Verdana"/>
                <w:b/>
                <w:bCs/>
                <w:color w:val="000000"/>
                <w:sz w:val="18"/>
                <w:szCs w:val="18"/>
              </w:rPr>
              <w:t>Page</w:t>
            </w:r>
          </w:p>
        </w:tc>
        <w:tc>
          <w:tcPr>
            <w:tcW w:w="1218" w:type="pct"/>
            <w:vMerge/>
            <w:tcBorders>
              <w:top w:val="single" w:sz="4" w:space="0" w:color="auto"/>
              <w:bottom w:val="single" w:sz="12" w:space="0" w:color="auto"/>
            </w:tcBorders>
          </w:tcPr>
          <w:p w14:paraId="631B9CE6" w14:textId="77777777" w:rsidR="00740B00" w:rsidRPr="00FC6870" w:rsidRDefault="00740B00" w:rsidP="003A7A56">
            <w:pPr>
              <w:autoSpaceDE w:val="0"/>
              <w:autoSpaceDN w:val="0"/>
              <w:adjustRightInd w:val="0"/>
              <w:spacing w:before="120" w:after="120"/>
              <w:rPr>
                <w:rFonts w:cs="Verdana"/>
                <w:color w:val="000000"/>
                <w:sz w:val="18"/>
                <w:szCs w:val="18"/>
              </w:rPr>
            </w:pPr>
          </w:p>
        </w:tc>
        <w:tc>
          <w:tcPr>
            <w:tcW w:w="497" w:type="pct"/>
            <w:vMerge/>
            <w:tcBorders>
              <w:top w:val="single" w:sz="4" w:space="0" w:color="auto"/>
              <w:bottom w:val="single" w:sz="12" w:space="0" w:color="auto"/>
            </w:tcBorders>
          </w:tcPr>
          <w:p w14:paraId="631B9CE7" w14:textId="77777777" w:rsidR="00740B00" w:rsidRPr="00FC6870" w:rsidRDefault="00740B00" w:rsidP="003A7A56">
            <w:pPr>
              <w:autoSpaceDE w:val="0"/>
              <w:autoSpaceDN w:val="0"/>
              <w:adjustRightInd w:val="0"/>
              <w:spacing w:before="120" w:after="120"/>
              <w:rPr>
                <w:rFonts w:cs="Verdana"/>
                <w:color w:val="000000"/>
                <w:sz w:val="18"/>
                <w:szCs w:val="18"/>
              </w:rPr>
            </w:pPr>
          </w:p>
        </w:tc>
        <w:tc>
          <w:tcPr>
            <w:tcW w:w="537" w:type="pct"/>
            <w:vMerge/>
            <w:tcBorders>
              <w:top w:val="single" w:sz="4" w:space="0" w:color="auto"/>
              <w:bottom w:val="single" w:sz="12" w:space="0" w:color="auto"/>
            </w:tcBorders>
          </w:tcPr>
          <w:p w14:paraId="631B9CE8" w14:textId="77777777" w:rsidR="00740B00" w:rsidRPr="00FC6870" w:rsidRDefault="00740B00" w:rsidP="003A7A56">
            <w:pPr>
              <w:autoSpaceDE w:val="0"/>
              <w:autoSpaceDN w:val="0"/>
              <w:adjustRightInd w:val="0"/>
              <w:spacing w:before="120" w:after="120"/>
              <w:rPr>
                <w:rFonts w:cs="Verdana"/>
                <w:b/>
                <w:bCs/>
                <w:color w:val="000000"/>
                <w:sz w:val="18"/>
                <w:szCs w:val="18"/>
              </w:rPr>
            </w:pPr>
          </w:p>
        </w:tc>
        <w:tc>
          <w:tcPr>
            <w:tcW w:w="378" w:type="pct"/>
            <w:vMerge/>
            <w:tcBorders>
              <w:top w:val="single" w:sz="4" w:space="0" w:color="auto"/>
              <w:bottom w:val="single" w:sz="12" w:space="0" w:color="auto"/>
              <w:right w:val="single" w:sz="12" w:space="0" w:color="auto"/>
            </w:tcBorders>
          </w:tcPr>
          <w:p w14:paraId="631B9CE9" w14:textId="77777777" w:rsidR="00740B00" w:rsidRPr="00FC6870" w:rsidRDefault="00740B00" w:rsidP="003A7A56">
            <w:pPr>
              <w:autoSpaceDE w:val="0"/>
              <w:autoSpaceDN w:val="0"/>
              <w:adjustRightInd w:val="0"/>
              <w:spacing w:before="120" w:after="120"/>
              <w:rPr>
                <w:rFonts w:cs="Verdana"/>
                <w:b/>
                <w:bCs/>
                <w:color w:val="000000"/>
                <w:sz w:val="18"/>
                <w:szCs w:val="18"/>
              </w:rPr>
            </w:pPr>
          </w:p>
        </w:tc>
        <w:tc>
          <w:tcPr>
            <w:tcW w:w="303" w:type="pct"/>
            <w:vMerge/>
            <w:tcBorders>
              <w:top w:val="single" w:sz="4" w:space="0" w:color="auto"/>
              <w:left w:val="single" w:sz="12" w:space="0" w:color="auto"/>
              <w:bottom w:val="single" w:sz="12" w:space="0" w:color="auto"/>
            </w:tcBorders>
            <w:shd w:val="clear" w:color="auto" w:fill="E6E6E6"/>
          </w:tcPr>
          <w:p w14:paraId="631B9CEA" w14:textId="77777777" w:rsidR="00740B00" w:rsidRPr="00FC6870" w:rsidRDefault="00740B00" w:rsidP="003A7A56">
            <w:pPr>
              <w:autoSpaceDE w:val="0"/>
              <w:autoSpaceDN w:val="0"/>
              <w:adjustRightInd w:val="0"/>
              <w:spacing w:before="120" w:after="120"/>
              <w:rPr>
                <w:rFonts w:cs="Verdana"/>
                <w:color w:val="000000"/>
                <w:sz w:val="18"/>
                <w:szCs w:val="18"/>
              </w:rPr>
            </w:pPr>
          </w:p>
        </w:tc>
        <w:tc>
          <w:tcPr>
            <w:tcW w:w="845" w:type="pct"/>
            <w:vMerge/>
            <w:tcBorders>
              <w:top w:val="single" w:sz="4" w:space="0" w:color="auto"/>
              <w:bottom w:val="single" w:sz="12" w:space="0" w:color="auto"/>
            </w:tcBorders>
            <w:shd w:val="clear" w:color="auto" w:fill="E6E6E6"/>
          </w:tcPr>
          <w:p w14:paraId="631B9CEB" w14:textId="77777777" w:rsidR="00740B00" w:rsidRPr="00FC6870" w:rsidRDefault="00740B00" w:rsidP="003A7A56">
            <w:pPr>
              <w:autoSpaceDE w:val="0"/>
              <w:autoSpaceDN w:val="0"/>
              <w:adjustRightInd w:val="0"/>
              <w:spacing w:before="120" w:after="120"/>
              <w:rPr>
                <w:rFonts w:cs="Verdana"/>
                <w:color w:val="000000"/>
                <w:sz w:val="18"/>
                <w:szCs w:val="18"/>
              </w:rPr>
            </w:pPr>
          </w:p>
        </w:tc>
      </w:tr>
      <w:tr w:rsidR="00340B1F" w:rsidRPr="00FC6870" w14:paraId="631B9CF7" w14:textId="77777777" w:rsidTr="00340B1F">
        <w:trPr>
          <w:cantSplit/>
        </w:trPr>
        <w:tc>
          <w:tcPr>
            <w:tcW w:w="183" w:type="pct"/>
            <w:tcBorders>
              <w:top w:val="single" w:sz="12" w:space="0" w:color="auto"/>
              <w:bottom w:val="single" w:sz="4" w:space="0" w:color="auto"/>
              <w:right w:val="single" w:sz="4" w:space="0" w:color="auto"/>
            </w:tcBorders>
          </w:tcPr>
          <w:p w14:paraId="631B9CED" w14:textId="77777777" w:rsidR="00740B00" w:rsidRPr="00FC6870" w:rsidRDefault="00740B00" w:rsidP="003A7A56">
            <w:pPr>
              <w:spacing w:before="120" w:after="120"/>
              <w:jc w:val="center"/>
              <w:rPr>
                <w:rFonts w:cs="Arial"/>
                <w:color w:val="000000"/>
                <w:sz w:val="18"/>
                <w:szCs w:val="18"/>
              </w:rPr>
            </w:pPr>
            <w:r w:rsidRPr="00FC6870">
              <w:rPr>
                <w:rFonts w:cs="Arial"/>
                <w:color w:val="000000"/>
                <w:sz w:val="18"/>
                <w:szCs w:val="18"/>
              </w:rPr>
              <w:t>1</w:t>
            </w:r>
          </w:p>
        </w:tc>
        <w:tc>
          <w:tcPr>
            <w:tcW w:w="445" w:type="pct"/>
            <w:tcBorders>
              <w:top w:val="single" w:sz="12" w:space="0" w:color="auto"/>
              <w:left w:val="single" w:sz="4" w:space="0" w:color="auto"/>
              <w:bottom w:val="single" w:sz="4" w:space="0" w:color="auto"/>
              <w:right w:val="single" w:sz="4" w:space="0" w:color="auto"/>
            </w:tcBorders>
          </w:tcPr>
          <w:p w14:paraId="631B9CEE" w14:textId="2665A2DA" w:rsidR="00740B00" w:rsidRPr="00551B75" w:rsidRDefault="00551B75" w:rsidP="003A7A56">
            <w:pPr>
              <w:spacing w:before="120" w:after="120"/>
              <w:rPr>
                <w:rFonts w:cs="Arial"/>
                <w:iCs/>
                <w:sz w:val="18"/>
                <w:szCs w:val="18"/>
              </w:rPr>
            </w:pPr>
            <w:r w:rsidRPr="00551B75">
              <w:rPr>
                <w:rFonts w:cs="Arial"/>
                <w:iCs/>
                <w:sz w:val="18"/>
                <w:szCs w:val="18"/>
              </w:rPr>
              <w:t>Rolls-Royce plc</w:t>
            </w:r>
          </w:p>
        </w:tc>
        <w:tc>
          <w:tcPr>
            <w:tcW w:w="313" w:type="pct"/>
            <w:tcBorders>
              <w:top w:val="single" w:sz="12" w:space="0" w:color="auto"/>
              <w:left w:val="single" w:sz="4" w:space="0" w:color="auto"/>
              <w:bottom w:val="single" w:sz="4" w:space="0" w:color="auto"/>
              <w:right w:val="single" w:sz="4" w:space="0" w:color="auto"/>
            </w:tcBorders>
            <w:shd w:val="clear" w:color="auto" w:fill="auto"/>
          </w:tcPr>
          <w:p w14:paraId="631B9CEF" w14:textId="47A32A50" w:rsidR="00740B00" w:rsidRPr="00FC6870" w:rsidRDefault="00EB35D5" w:rsidP="003A7A56">
            <w:pPr>
              <w:spacing w:before="120" w:after="120"/>
              <w:jc w:val="center"/>
              <w:rPr>
                <w:rFonts w:cs="Arial"/>
                <w:sz w:val="18"/>
                <w:szCs w:val="18"/>
              </w:rPr>
            </w:pPr>
            <w:r>
              <w:rPr>
                <w:rFonts w:cs="Arial"/>
                <w:sz w:val="18"/>
                <w:szCs w:val="18"/>
              </w:rPr>
              <w:t>Item 2</w:t>
            </w:r>
          </w:p>
        </w:tc>
        <w:tc>
          <w:tcPr>
            <w:tcW w:w="281" w:type="pct"/>
            <w:tcBorders>
              <w:top w:val="single" w:sz="12" w:space="0" w:color="auto"/>
              <w:left w:val="single" w:sz="4" w:space="0" w:color="auto"/>
              <w:bottom w:val="single" w:sz="4" w:space="0" w:color="auto"/>
              <w:right w:val="single" w:sz="4" w:space="0" w:color="auto"/>
            </w:tcBorders>
            <w:shd w:val="clear" w:color="auto" w:fill="auto"/>
          </w:tcPr>
          <w:p w14:paraId="631B9CF0" w14:textId="599B11EF" w:rsidR="00740B00" w:rsidRPr="00FC6870" w:rsidRDefault="00EB35D5" w:rsidP="003A7A56">
            <w:pPr>
              <w:spacing w:before="120" w:after="120"/>
              <w:jc w:val="center"/>
              <w:rPr>
                <w:rFonts w:cs="Arial"/>
                <w:sz w:val="18"/>
                <w:szCs w:val="18"/>
              </w:rPr>
            </w:pPr>
            <w:r>
              <w:rPr>
                <w:rFonts w:cs="Arial"/>
                <w:sz w:val="18"/>
                <w:szCs w:val="18"/>
              </w:rPr>
              <w:t>2</w:t>
            </w:r>
          </w:p>
        </w:tc>
        <w:tc>
          <w:tcPr>
            <w:tcW w:w="1218" w:type="pct"/>
            <w:tcBorders>
              <w:top w:val="single" w:sz="12" w:space="0" w:color="auto"/>
              <w:left w:val="single" w:sz="4" w:space="0" w:color="auto"/>
              <w:bottom w:val="single" w:sz="4" w:space="0" w:color="auto"/>
              <w:right w:val="single" w:sz="4" w:space="0" w:color="auto"/>
            </w:tcBorders>
          </w:tcPr>
          <w:p w14:paraId="631B9CF1" w14:textId="39C22D6A" w:rsidR="00740B00" w:rsidRPr="00FC6870" w:rsidRDefault="00EB35D5" w:rsidP="003A7A56">
            <w:pPr>
              <w:spacing w:before="120" w:after="120"/>
              <w:rPr>
                <w:rFonts w:cs="Arial"/>
                <w:sz w:val="18"/>
                <w:szCs w:val="18"/>
              </w:rPr>
            </w:pPr>
            <w:r>
              <w:rPr>
                <w:rFonts w:cs="Arial"/>
                <w:sz w:val="18"/>
                <w:szCs w:val="18"/>
              </w:rPr>
              <w:t>Clarification requested on item 2</w:t>
            </w:r>
          </w:p>
        </w:tc>
        <w:tc>
          <w:tcPr>
            <w:tcW w:w="497" w:type="pct"/>
            <w:tcBorders>
              <w:top w:val="single" w:sz="12" w:space="0" w:color="auto"/>
              <w:left w:val="single" w:sz="4" w:space="0" w:color="auto"/>
              <w:bottom w:val="single" w:sz="4" w:space="0" w:color="auto"/>
              <w:right w:val="single" w:sz="4" w:space="0" w:color="auto"/>
            </w:tcBorders>
          </w:tcPr>
          <w:p w14:paraId="631B9CF2" w14:textId="21A3A694" w:rsidR="00740B00" w:rsidRPr="00551B75" w:rsidRDefault="00EB35D5" w:rsidP="00B256D0">
            <w:pPr>
              <w:rPr>
                <w:rFonts w:cs="Arial"/>
                <w:sz w:val="18"/>
                <w:szCs w:val="18"/>
              </w:rPr>
            </w:pPr>
            <w:r w:rsidRPr="00551B75">
              <w:rPr>
                <w:color w:val="1F497D"/>
                <w:sz w:val="18"/>
                <w:szCs w:val="18"/>
              </w:rPr>
              <w:t xml:space="preserve">Item 2 on the list covers minor design changes that need a new part number to be identified in the ALS, but without changing the safe life limits in ALS part </w:t>
            </w:r>
            <w:proofErr w:type="gramStart"/>
            <w:r w:rsidRPr="00551B75">
              <w:rPr>
                <w:color w:val="1F497D"/>
                <w:sz w:val="18"/>
                <w:szCs w:val="18"/>
              </w:rPr>
              <w:t>1( as</w:t>
            </w:r>
            <w:proofErr w:type="gramEnd"/>
            <w:r w:rsidRPr="00551B75">
              <w:rPr>
                <w:color w:val="1F497D"/>
                <w:sz w:val="18"/>
                <w:szCs w:val="18"/>
              </w:rPr>
              <w:t xml:space="preserve"> defined in the consultation) This scenario is also considered for ALS part 4 in item 3 of the same list. I propose that the possibility of introducing a new part number into the ALS without changing the ALS limits should also be included for ALS Part 2 items (damage tolerance limits) and possibly ALS Part 3 (CMR).</w:t>
            </w:r>
          </w:p>
        </w:tc>
        <w:tc>
          <w:tcPr>
            <w:tcW w:w="537" w:type="pct"/>
            <w:tcBorders>
              <w:top w:val="single" w:sz="12" w:space="0" w:color="auto"/>
              <w:left w:val="single" w:sz="4" w:space="0" w:color="auto"/>
              <w:bottom w:val="single" w:sz="4" w:space="0" w:color="auto"/>
              <w:right w:val="single" w:sz="4" w:space="0" w:color="auto"/>
            </w:tcBorders>
          </w:tcPr>
          <w:p w14:paraId="631B9CF3" w14:textId="2D0BD39E" w:rsidR="00740B00" w:rsidRPr="00FC6870" w:rsidRDefault="00EB35D5" w:rsidP="003A7A56">
            <w:pPr>
              <w:spacing w:before="120" w:after="120"/>
              <w:jc w:val="center"/>
              <w:rPr>
                <w:rFonts w:cs="Arial"/>
                <w:sz w:val="18"/>
                <w:szCs w:val="18"/>
              </w:rPr>
            </w:pPr>
            <w:r>
              <w:rPr>
                <w:rFonts w:cs="Arial"/>
                <w:sz w:val="18"/>
                <w:szCs w:val="18"/>
              </w:rPr>
              <w:t>Yes</w:t>
            </w:r>
          </w:p>
        </w:tc>
        <w:tc>
          <w:tcPr>
            <w:tcW w:w="378" w:type="pct"/>
            <w:tcBorders>
              <w:top w:val="single" w:sz="12" w:space="0" w:color="auto"/>
              <w:left w:val="single" w:sz="4" w:space="0" w:color="auto"/>
              <w:bottom w:val="single" w:sz="4" w:space="0" w:color="auto"/>
              <w:right w:val="single" w:sz="12" w:space="0" w:color="auto"/>
            </w:tcBorders>
          </w:tcPr>
          <w:p w14:paraId="631B9CF4" w14:textId="77777777" w:rsidR="00740B00" w:rsidRPr="00FC6870" w:rsidRDefault="00740B00" w:rsidP="003A7A56">
            <w:pPr>
              <w:spacing w:before="120" w:after="120"/>
              <w:jc w:val="center"/>
              <w:rPr>
                <w:rFonts w:cs="Arial"/>
                <w:sz w:val="18"/>
                <w:szCs w:val="18"/>
              </w:rPr>
            </w:pPr>
          </w:p>
        </w:tc>
        <w:tc>
          <w:tcPr>
            <w:tcW w:w="303" w:type="pct"/>
            <w:tcBorders>
              <w:top w:val="single" w:sz="12" w:space="0" w:color="auto"/>
              <w:left w:val="single" w:sz="12" w:space="0" w:color="auto"/>
              <w:bottom w:val="single" w:sz="4" w:space="0" w:color="auto"/>
              <w:right w:val="single" w:sz="4" w:space="0" w:color="auto"/>
            </w:tcBorders>
            <w:shd w:val="clear" w:color="auto" w:fill="E6E6E6"/>
          </w:tcPr>
          <w:p w14:paraId="631B9CF5" w14:textId="55797898" w:rsidR="00660AF5" w:rsidRDefault="00551B75" w:rsidP="003A7A56">
            <w:pPr>
              <w:spacing w:before="120" w:after="120"/>
              <w:jc w:val="center"/>
              <w:rPr>
                <w:rFonts w:cs="Arial"/>
                <w:b/>
                <w:sz w:val="18"/>
                <w:szCs w:val="18"/>
              </w:rPr>
            </w:pPr>
            <w:r w:rsidRPr="00340B1F">
              <w:rPr>
                <w:rFonts w:cs="Arial"/>
                <w:b/>
                <w:sz w:val="18"/>
                <w:szCs w:val="18"/>
              </w:rPr>
              <w:t>Noted</w:t>
            </w:r>
          </w:p>
          <w:p w14:paraId="7E295B24" w14:textId="77777777" w:rsidR="00660AF5" w:rsidRPr="00660AF5" w:rsidRDefault="00660AF5" w:rsidP="00660AF5">
            <w:pPr>
              <w:rPr>
                <w:rFonts w:cs="Arial"/>
                <w:sz w:val="18"/>
                <w:szCs w:val="18"/>
              </w:rPr>
            </w:pPr>
          </w:p>
          <w:p w14:paraId="2640CD5B" w14:textId="77777777" w:rsidR="00660AF5" w:rsidRPr="00660AF5" w:rsidRDefault="00660AF5" w:rsidP="00660AF5">
            <w:pPr>
              <w:rPr>
                <w:rFonts w:cs="Arial"/>
                <w:sz w:val="18"/>
                <w:szCs w:val="18"/>
              </w:rPr>
            </w:pPr>
          </w:p>
          <w:p w14:paraId="31A795CF" w14:textId="77777777" w:rsidR="00660AF5" w:rsidRPr="00660AF5" w:rsidRDefault="00660AF5" w:rsidP="00660AF5">
            <w:pPr>
              <w:rPr>
                <w:rFonts w:cs="Arial"/>
                <w:sz w:val="18"/>
                <w:szCs w:val="18"/>
              </w:rPr>
            </w:pPr>
          </w:p>
          <w:p w14:paraId="5EC424C2" w14:textId="77777777" w:rsidR="00660AF5" w:rsidRPr="00660AF5" w:rsidRDefault="00660AF5" w:rsidP="00660AF5">
            <w:pPr>
              <w:rPr>
                <w:rFonts w:cs="Arial"/>
                <w:sz w:val="18"/>
                <w:szCs w:val="18"/>
              </w:rPr>
            </w:pPr>
          </w:p>
          <w:p w14:paraId="48346F77" w14:textId="77777777" w:rsidR="00660AF5" w:rsidRPr="00660AF5" w:rsidRDefault="00660AF5" w:rsidP="00660AF5">
            <w:pPr>
              <w:rPr>
                <w:rFonts w:cs="Arial"/>
                <w:sz w:val="18"/>
                <w:szCs w:val="18"/>
              </w:rPr>
            </w:pPr>
          </w:p>
          <w:p w14:paraId="39BDB030" w14:textId="77777777" w:rsidR="00660AF5" w:rsidRPr="00660AF5" w:rsidRDefault="00660AF5" w:rsidP="00660AF5">
            <w:pPr>
              <w:rPr>
                <w:rFonts w:cs="Arial"/>
                <w:sz w:val="18"/>
                <w:szCs w:val="18"/>
              </w:rPr>
            </w:pPr>
          </w:p>
          <w:p w14:paraId="1B6AC9C5" w14:textId="77777777" w:rsidR="00660AF5" w:rsidRPr="00660AF5" w:rsidRDefault="00660AF5" w:rsidP="00660AF5">
            <w:pPr>
              <w:rPr>
                <w:rFonts w:cs="Arial"/>
                <w:sz w:val="18"/>
                <w:szCs w:val="18"/>
              </w:rPr>
            </w:pPr>
          </w:p>
          <w:p w14:paraId="1459C3AD" w14:textId="77777777" w:rsidR="00660AF5" w:rsidRPr="00660AF5" w:rsidRDefault="00660AF5" w:rsidP="00660AF5">
            <w:pPr>
              <w:rPr>
                <w:rFonts w:cs="Arial"/>
                <w:sz w:val="18"/>
                <w:szCs w:val="18"/>
              </w:rPr>
            </w:pPr>
          </w:p>
          <w:p w14:paraId="729CE270" w14:textId="77777777" w:rsidR="00660AF5" w:rsidRPr="00660AF5" w:rsidRDefault="00660AF5" w:rsidP="00660AF5">
            <w:pPr>
              <w:rPr>
                <w:rFonts w:cs="Arial"/>
                <w:sz w:val="18"/>
                <w:szCs w:val="18"/>
              </w:rPr>
            </w:pPr>
          </w:p>
          <w:p w14:paraId="4F2551A9" w14:textId="77777777" w:rsidR="00660AF5" w:rsidRPr="00660AF5" w:rsidRDefault="00660AF5" w:rsidP="00660AF5">
            <w:pPr>
              <w:rPr>
                <w:rFonts w:cs="Arial"/>
                <w:sz w:val="18"/>
                <w:szCs w:val="18"/>
              </w:rPr>
            </w:pPr>
          </w:p>
          <w:p w14:paraId="433D1BA6" w14:textId="77777777" w:rsidR="00660AF5" w:rsidRPr="00660AF5" w:rsidRDefault="00660AF5" w:rsidP="00660AF5">
            <w:pPr>
              <w:rPr>
                <w:rFonts w:cs="Arial"/>
                <w:sz w:val="18"/>
                <w:szCs w:val="18"/>
              </w:rPr>
            </w:pPr>
          </w:p>
          <w:p w14:paraId="1F2F37E6" w14:textId="77777777" w:rsidR="00660AF5" w:rsidRPr="00660AF5" w:rsidRDefault="00660AF5" w:rsidP="00660AF5">
            <w:pPr>
              <w:rPr>
                <w:rFonts w:cs="Arial"/>
                <w:sz w:val="18"/>
                <w:szCs w:val="18"/>
              </w:rPr>
            </w:pPr>
          </w:p>
          <w:p w14:paraId="5F229157" w14:textId="77777777" w:rsidR="00660AF5" w:rsidRPr="00660AF5" w:rsidRDefault="00660AF5" w:rsidP="00660AF5">
            <w:pPr>
              <w:rPr>
                <w:rFonts w:cs="Arial"/>
                <w:sz w:val="18"/>
                <w:szCs w:val="18"/>
              </w:rPr>
            </w:pPr>
          </w:p>
          <w:p w14:paraId="339B9DBD" w14:textId="77777777" w:rsidR="00660AF5" w:rsidRPr="00660AF5" w:rsidRDefault="00660AF5" w:rsidP="00660AF5">
            <w:pPr>
              <w:rPr>
                <w:rFonts w:cs="Arial"/>
                <w:sz w:val="18"/>
                <w:szCs w:val="18"/>
              </w:rPr>
            </w:pPr>
          </w:p>
          <w:p w14:paraId="20528592" w14:textId="77777777" w:rsidR="00660AF5" w:rsidRPr="00660AF5" w:rsidRDefault="00660AF5" w:rsidP="00660AF5">
            <w:pPr>
              <w:rPr>
                <w:rFonts w:cs="Arial"/>
                <w:sz w:val="18"/>
                <w:szCs w:val="18"/>
              </w:rPr>
            </w:pPr>
          </w:p>
          <w:p w14:paraId="2452A035" w14:textId="77777777" w:rsidR="00660AF5" w:rsidRPr="00660AF5" w:rsidRDefault="00660AF5" w:rsidP="00660AF5">
            <w:pPr>
              <w:rPr>
                <w:rFonts w:cs="Arial"/>
                <w:sz w:val="18"/>
                <w:szCs w:val="18"/>
              </w:rPr>
            </w:pPr>
          </w:p>
          <w:p w14:paraId="6B5599AF" w14:textId="77777777" w:rsidR="00660AF5" w:rsidRPr="00660AF5" w:rsidRDefault="00660AF5" w:rsidP="00660AF5">
            <w:pPr>
              <w:rPr>
                <w:rFonts w:cs="Arial"/>
                <w:sz w:val="18"/>
                <w:szCs w:val="18"/>
              </w:rPr>
            </w:pPr>
          </w:p>
          <w:p w14:paraId="674D1998" w14:textId="77777777" w:rsidR="00660AF5" w:rsidRPr="00660AF5" w:rsidRDefault="00660AF5" w:rsidP="00660AF5">
            <w:pPr>
              <w:rPr>
                <w:rFonts w:cs="Arial"/>
                <w:sz w:val="18"/>
                <w:szCs w:val="18"/>
              </w:rPr>
            </w:pPr>
          </w:p>
          <w:p w14:paraId="7114B5E6" w14:textId="77777777" w:rsidR="00660AF5" w:rsidRPr="00660AF5" w:rsidRDefault="00660AF5" w:rsidP="00660AF5">
            <w:pPr>
              <w:rPr>
                <w:rFonts w:cs="Arial"/>
                <w:sz w:val="18"/>
                <w:szCs w:val="18"/>
              </w:rPr>
            </w:pPr>
          </w:p>
          <w:p w14:paraId="2531996F" w14:textId="77777777" w:rsidR="00660AF5" w:rsidRPr="00660AF5" w:rsidRDefault="00660AF5" w:rsidP="00660AF5">
            <w:pPr>
              <w:rPr>
                <w:rFonts w:cs="Arial"/>
                <w:sz w:val="18"/>
                <w:szCs w:val="18"/>
              </w:rPr>
            </w:pPr>
          </w:p>
          <w:p w14:paraId="4C8D7BA6" w14:textId="77777777" w:rsidR="00660AF5" w:rsidRPr="00660AF5" w:rsidRDefault="00660AF5" w:rsidP="00660AF5">
            <w:pPr>
              <w:rPr>
                <w:rFonts w:cs="Arial"/>
                <w:sz w:val="18"/>
                <w:szCs w:val="18"/>
              </w:rPr>
            </w:pPr>
          </w:p>
          <w:p w14:paraId="63985583" w14:textId="77777777" w:rsidR="00660AF5" w:rsidRPr="00660AF5" w:rsidRDefault="00660AF5" w:rsidP="00660AF5">
            <w:pPr>
              <w:rPr>
                <w:rFonts w:cs="Arial"/>
                <w:sz w:val="18"/>
                <w:szCs w:val="18"/>
              </w:rPr>
            </w:pPr>
          </w:p>
          <w:p w14:paraId="5D1D32E8" w14:textId="77777777" w:rsidR="00660AF5" w:rsidRPr="00660AF5" w:rsidRDefault="00660AF5" w:rsidP="00660AF5">
            <w:pPr>
              <w:rPr>
                <w:rFonts w:cs="Arial"/>
                <w:sz w:val="18"/>
                <w:szCs w:val="18"/>
              </w:rPr>
            </w:pPr>
          </w:p>
          <w:p w14:paraId="06F8444C" w14:textId="77777777" w:rsidR="00660AF5" w:rsidRPr="00660AF5" w:rsidRDefault="00660AF5" w:rsidP="00660AF5">
            <w:pPr>
              <w:rPr>
                <w:rFonts w:cs="Arial"/>
                <w:sz w:val="18"/>
                <w:szCs w:val="18"/>
              </w:rPr>
            </w:pPr>
          </w:p>
          <w:p w14:paraId="048CE5FB" w14:textId="77777777" w:rsidR="00660AF5" w:rsidRPr="00660AF5" w:rsidRDefault="00660AF5" w:rsidP="00660AF5">
            <w:pPr>
              <w:rPr>
                <w:rFonts w:cs="Arial"/>
                <w:sz w:val="18"/>
                <w:szCs w:val="18"/>
              </w:rPr>
            </w:pPr>
          </w:p>
          <w:p w14:paraId="3014492B" w14:textId="7D60C5B0" w:rsidR="00740B00" w:rsidRPr="00660AF5" w:rsidRDefault="00740B00" w:rsidP="00660AF5">
            <w:pPr>
              <w:rPr>
                <w:rFonts w:cs="Arial"/>
                <w:sz w:val="18"/>
                <w:szCs w:val="18"/>
              </w:rPr>
            </w:pPr>
          </w:p>
        </w:tc>
        <w:tc>
          <w:tcPr>
            <w:tcW w:w="845" w:type="pct"/>
            <w:tcBorders>
              <w:top w:val="single" w:sz="12" w:space="0" w:color="auto"/>
              <w:left w:val="single" w:sz="4" w:space="0" w:color="auto"/>
              <w:bottom w:val="single" w:sz="4" w:space="0" w:color="auto"/>
            </w:tcBorders>
            <w:shd w:val="clear" w:color="auto" w:fill="E6E6E6"/>
          </w:tcPr>
          <w:p w14:paraId="631B9CF6" w14:textId="134E1A38" w:rsidR="00740B00" w:rsidRPr="00FC6870" w:rsidRDefault="00551B75" w:rsidP="003A7A56">
            <w:pPr>
              <w:spacing w:before="120" w:after="120"/>
              <w:rPr>
                <w:rFonts w:cs="Arial"/>
                <w:sz w:val="18"/>
                <w:szCs w:val="18"/>
              </w:rPr>
            </w:pPr>
            <w:r>
              <w:rPr>
                <w:rFonts w:cs="Arial"/>
                <w:sz w:val="18"/>
                <w:szCs w:val="18"/>
              </w:rPr>
              <w:t>Based on experience accumulated and further requests coming from industry, EASA will review the current list of minor ALS changes for possible extension.</w:t>
            </w:r>
          </w:p>
        </w:tc>
      </w:tr>
      <w:tr w:rsidR="00340B1F" w:rsidRPr="00FC6870" w14:paraId="631B9D02" w14:textId="77777777" w:rsidTr="00340B1F">
        <w:trPr>
          <w:cantSplit/>
        </w:trPr>
        <w:tc>
          <w:tcPr>
            <w:tcW w:w="183" w:type="pct"/>
            <w:tcBorders>
              <w:top w:val="single" w:sz="4" w:space="0" w:color="auto"/>
              <w:bottom w:val="single" w:sz="4" w:space="0" w:color="auto"/>
              <w:right w:val="single" w:sz="4" w:space="0" w:color="auto"/>
            </w:tcBorders>
          </w:tcPr>
          <w:p w14:paraId="631B9CF8" w14:textId="77777777" w:rsidR="00740B00" w:rsidRPr="00FC6870" w:rsidRDefault="00740B00" w:rsidP="003A7A56">
            <w:pPr>
              <w:spacing w:before="120" w:after="120"/>
              <w:jc w:val="center"/>
              <w:rPr>
                <w:rFonts w:cs="Arial"/>
                <w:color w:val="000000"/>
                <w:sz w:val="18"/>
                <w:szCs w:val="18"/>
              </w:rPr>
            </w:pPr>
            <w:r w:rsidRPr="00FC6870">
              <w:rPr>
                <w:rFonts w:cs="Arial"/>
                <w:color w:val="000000"/>
                <w:sz w:val="18"/>
                <w:szCs w:val="18"/>
              </w:rPr>
              <w:lastRenderedPageBreak/>
              <w:t>2</w:t>
            </w:r>
          </w:p>
        </w:tc>
        <w:tc>
          <w:tcPr>
            <w:tcW w:w="445" w:type="pct"/>
            <w:tcBorders>
              <w:top w:val="single" w:sz="4" w:space="0" w:color="auto"/>
              <w:left w:val="single" w:sz="4" w:space="0" w:color="auto"/>
              <w:bottom w:val="single" w:sz="4" w:space="0" w:color="auto"/>
              <w:right w:val="single" w:sz="4" w:space="0" w:color="auto"/>
            </w:tcBorders>
          </w:tcPr>
          <w:p w14:paraId="631B9CF9" w14:textId="56278642" w:rsidR="00740B00" w:rsidRPr="00FC6870" w:rsidRDefault="00551B75" w:rsidP="003A7A56">
            <w:pPr>
              <w:spacing w:before="120" w:after="120"/>
              <w:rPr>
                <w:rFonts w:cs="Arial"/>
                <w:i/>
                <w:iCs/>
                <w:sz w:val="18"/>
                <w:szCs w:val="18"/>
              </w:rPr>
            </w:pPr>
            <w:r w:rsidRPr="00551B75">
              <w:rPr>
                <w:rFonts w:cs="Arial"/>
                <w:iCs/>
                <w:sz w:val="18"/>
                <w:szCs w:val="18"/>
              </w:rPr>
              <w:t>Rolls-Royce plc</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31B9CFA" w14:textId="0C7D72D2" w:rsidR="00740B00" w:rsidRPr="00FC6870" w:rsidRDefault="00B70BAB" w:rsidP="003A7A56">
            <w:pPr>
              <w:spacing w:before="120" w:after="120"/>
              <w:jc w:val="center"/>
              <w:rPr>
                <w:rFonts w:cs="Arial"/>
                <w:sz w:val="18"/>
                <w:szCs w:val="18"/>
              </w:rPr>
            </w:pPr>
            <w:r>
              <w:rPr>
                <w:rFonts w:cs="Arial"/>
                <w:sz w:val="18"/>
                <w:szCs w:val="18"/>
              </w:rPr>
              <w:t>N/A</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31B9CFB" w14:textId="43AA9504" w:rsidR="00740B00" w:rsidRPr="00FC6870" w:rsidRDefault="00B70BAB" w:rsidP="003A7A56">
            <w:pPr>
              <w:spacing w:before="120" w:after="120"/>
              <w:jc w:val="center"/>
              <w:rPr>
                <w:rFonts w:cs="Arial"/>
                <w:sz w:val="18"/>
                <w:szCs w:val="18"/>
              </w:rPr>
            </w:pPr>
            <w:r>
              <w:rPr>
                <w:rFonts w:cs="Arial"/>
                <w:sz w:val="18"/>
                <w:szCs w:val="18"/>
              </w:rPr>
              <w:t>N/A</w:t>
            </w:r>
          </w:p>
        </w:tc>
        <w:tc>
          <w:tcPr>
            <w:tcW w:w="1218" w:type="pct"/>
            <w:tcBorders>
              <w:top w:val="single" w:sz="4" w:space="0" w:color="auto"/>
              <w:left w:val="single" w:sz="4" w:space="0" w:color="auto"/>
              <w:bottom w:val="single" w:sz="4" w:space="0" w:color="auto"/>
              <w:right w:val="single" w:sz="4" w:space="0" w:color="auto"/>
            </w:tcBorders>
          </w:tcPr>
          <w:p w14:paraId="631B9CFC" w14:textId="0B1724CC" w:rsidR="00740B00" w:rsidRPr="00551B75" w:rsidRDefault="00B70BAB" w:rsidP="00B70BAB">
            <w:pPr>
              <w:spacing w:before="120" w:after="120"/>
              <w:rPr>
                <w:rFonts w:cs="Arial"/>
                <w:sz w:val="18"/>
                <w:szCs w:val="18"/>
              </w:rPr>
            </w:pPr>
            <w:r w:rsidRPr="00551B75">
              <w:rPr>
                <w:color w:val="1F497D"/>
                <w:sz w:val="18"/>
                <w:szCs w:val="18"/>
              </w:rPr>
              <w:t xml:space="preserve">On which basis is EASA publishing DOARIs and what is the legal effectivity on existing </w:t>
            </w:r>
            <w:proofErr w:type="gramStart"/>
            <w:r w:rsidRPr="00551B75">
              <w:rPr>
                <w:color w:val="1F497D"/>
                <w:sz w:val="18"/>
                <w:szCs w:val="18"/>
              </w:rPr>
              <w:t>DOAs .</w:t>
            </w:r>
            <w:proofErr w:type="gramEnd"/>
            <w:r w:rsidRPr="00551B75">
              <w:rPr>
                <w:color w:val="1F497D"/>
                <w:sz w:val="18"/>
                <w:szCs w:val="18"/>
              </w:rPr>
              <w:t xml:space="preserve">  Where in the Part 21 will this be placed? Guidance only /AMC</w:t>
            </w:r>
          </w:p>
        </w:tc>
        <w:tc>
          <w:tcPr>
            <w:tcW w:w="497" w:type="pct"/>
            <w:tcBorders>
              <w:top w:val="single" w:sz="4" w:space="0" w:color="auto"/>
              <w:left w:val="single" w:sz="4" w:space="0" w:color="auto"/>
              <w:bottom w:val="single" w:sz="4" w:space="0" w:color="auto"/>
              <w:right w:val="single" w:sz="4" w:space="0" w:color="auto"/>
            </w:tcBorders>
          </w:tcPr>
          <w:p w14:paraId="631B9CFD" w14:textId="77777777" w:rsidR="00740B00" w:rsidRPr="00FC6870" w:rsidRDefault="00740B00" w:rsidP="003A7A56">
            <w:pPr>
              <w:spacing w:before="120" w:after="120"/>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tcPr>
          <w:p w14:paraId="631B9CFE" w14:textId="77777777" w:rsidR="00740B00" w:rsidRPr="00FC6870" w:rsidRDefault="00740B00" w:rsidP="003A7A56">
            <w:pPr>
              <w:spacing w:before="120" w:after="120"/>
              <w:jc w:val="center"/>
              <w:rPr>
                <w:rFonts w:cs="Arial"/>
                <w:sz w:val="18"/>
                <w:szCs w:val="18"/>
              </w:rPr>
            </w:pPr>
          </w:p>
        </w:tc>
        <w:tc>
          <w:tcPr>
            <w:tcW w:w="378" w:type="pct"/>
            <w:tcBorders>
              <w:top w:val="single" w:sz="4" w:space="0" w:color="auto"/>
              <w:left w:val="single" w:sz="4" w:space="0" w:color="auto"/>
              <w:bottom w:val="single" w:sz="4" w:space="0" w:color="auto"/>
              <w:right w:val="single" w:sz="12" w:space="0" w:color="auto"/>
            </w:tcBorders>
          </w:tcPr>
          <w:p w14:paraId="631B9CFF" w14:textId="77777777" w:rsidR="00740B00" w:rsidRPr="00FC6870" w:rsidRDefault="00740B00" w:rsidP="003A7A56">
            <w:pPr>
              <w:spacing w:before="120" w:after="120"/>
              <w:jc w:val="center"/>
              <w:rPr>
                <w:rFonts w:cs="Arial"/>
                <w:sz w:val="18"/>
                <w:szCs w:val="18"/>
              </w:rPr>
            </w:pPr>
          </w:p>
        </w:tc>
        <w:tc>
          <w:tcPr>
            <w:tcW w:w="303" w:type="pct"/>
            <w:tcBorders>
              <w:top w:val="single" w:sz="4" w:space="0" w:color="auto"/>
              <w:left w:val="single" w:sz="12" w:space="0" w:color="auto"/>
              <w:bottom w:val="single" w:sz="4" w:space="0" w:color="auto"/>
              <w:right w:val="single" w:sz="4" w:space="0" w:color="auto"/>
            </w:tcBorders>
            <w:shd w:val="clear" w:color="auto" w:fill="E6E6E6"/>
          </w:tcPr>
          <w:p w14:paraId="631B9D00" w14:textId="0672718E" w:rsidR="00740B00" w:rsidRPr="00340B1F" w:rsidRDefault="00551B75" w:rsidP="003A7A56">
            <w:pPr>
              <w:spacing w:before="120" w:after="120"/>
              <w:jc w:val="center"/>
              <w:rPr>
                <w:rFonts w:cs="Arial"/>
                <w:b/>
                <w:sz w:val="18"/>
                <w:szCs w:val="18"/>
              </w:rPr>
            </w:pPr>
            <w:r w:rsidRPr="00340B1F">
              <w:rPr>
                <w:rFonts w:cs="Arial"/>
                <w:b/>
                <w:sz w:val="18"/>
                <w:szCs w:val="18"/>
              </w:rPr>
              <w:t>Noted</w:t>
            </w:r>
          </w:p>
        </w:tc>
        <w:tc>
          <w:tcPr>
            <w:tcW w:w="845" w:type="pct"/>
            <w:tcBorders>
              <w:top w:val="single" w:sz="4" w:space="0" w:color="auto"/>
              <w:left w:val="single" w:sz="4" w:space="0" w:color="auto"/>
              <w:bottom w:val="single" w:sz="4" w:space="0" w:color="auto"/>
            </w:tcBorders>
            <w:shd w:val="clear" w:color="auto" w:fill="E6E6E6"/>
          </w:tcPr>
          <w:p w14:paraId="2B2B9EE6" w14:textId="77777777" w:rsidR="00740B00" w:rsidRDefault="00893BC1" w:rsidP="003A7A56">
            <w:pPr>
              <w:spacing w:before="120" w:after="120"/>
              <w:rPr>
                <w:rFonts w:cs="Arial"/>
                <w:sz w:val="18"/>
                <w:szCs w:val="18"/>
              </w:rPr>
            </w:pPr>
            <w:r w:rsidRPr="00893BC1">
              <w:rPr>
                <w:rFonts w:cs="Arial"/>
                <w:sz w:val="18"/>
                <w:szCs w:val="18"/>
              </w:rPr>
              <w:t>Application of a consultation process in case of certain DOARIs is based on EASA MB Decision 12-2007, Article 3, Paragraph 1</w:t>
            </w:r>
            <w:r>
              <w:rPr>
                <w:rFonts w:cs="Arial"/>
                <w:sz w:val="18"/>
                <w:szCs w:val="18"/>
              </w:rPr>
              <w:t>.</w:t>
            </w:r>
          </w:p>
          <w:p w14:paraId="1B863BB1" w14:textId="77777777" w:rsidR="00893BC1" w:rsidRPr="00893BC1" w:rsidRDefault="00893BC1" w:rsidP="003A7A56">
            <w:pPr>
              <w:spacing w:before="120" w:after="120"/>
              <w:rPr>
                <w:rFonts w:cs="Arial"/>
                <w:sz w:val="18"/>
                <w:szCs w:val="18"/>
              </w:rPr>
            </w:pPr>
            <w:r w:rsidRPr="00893BC1">
              <w:rPr>
                <w:rFonts w:cs="Arial"/>
                <w:sz w:val="18"/>
                <w:szCs w:val="18"/>
              </w:rPr>
              <w:t>As this type of DOARI is documenting an alternative means of compliance with Part 21 has no direct effect on existing DOAs (it is not mandatory).</w:t>
            </w:r>
          </w:p>
          <w:p w14:paraId="631B9D01" w14:textId="00852335" w:rsidR="00893BC1" w:rsidRPr="00FC6870" w:rsidRDefault="00893BC1" w:rsidP="003A7A56">
            <w:pPr>
              <w:spacing w:before="120" w:after="120"/>
              <w:rPr>
                <w:rFonts w:cs="Arial"/>
                <w:sz w:val="18"/>
                <w:szCs w:val="18"/>
                <w:highlight w:val="yellow"/>
              </w:rPr>
            </w:pPr>
            <w:r w:rsidRPr="00893BC1">
              <w:rPr>
                <w:rFonts w:cs="Arial"/>
                <w:sz w:val="18"/>
                <w:szCs w:val="18"/>
              </w:rPr>
              <w:t>Such DOARI will be considered when revising Part 21 GM&amp;AMC</w:t>
            </w:r>
          </w:p>
        </w:tc>
      </w:tr>
      <w:tr w:rsidR="00340B1F" w:rsidRPr="00FC6870" w14:paraId="631B9D0D" w14:textId="77777777" w:rsidTr="00340B1F">
        <w:trPr>
          <w:cantSplit/>
        </w:trPr>
        <w:tc>
          <w:tcPr>
            <w:tcW w:w="183" w:type="pct"/>
            <w:tcBorders>
              <w:top w:val="single" w:sz="4" w:space="0" w:color="auto"/>
              <w:bottom w:val="single" w:sz="4" w:space="0" w:color="auto"/>
              <w:right w:val="single" w:sz="4" w:space="0" w:color="auto"/>
            </w:tcBorders>
          </w:tcPr>
          <w:p w14:paraId="631B9D03" w14:textId="77777777" w:rsidR="00740B00" w:rsidRPr="00FC6870" w:rsidRDefault="00740B00" w:rsidP="003A7A56">
            <w:pPr>
              <w:spacing w:before="120" w:after="120"/>
              <w:jc w:val="center"/>
              <w:rPr>
                <w:rFonts w:cs="Arial"/>
                <w:color w:val="000000"/>
                <w:sz w:val="18"/>
                <w:szCs w:val="18"/>
              </w:rPr>
            </w:pPr>
            <w:r w:rsidRPr="00FC6870">
              <w:rPr>
                <w:rFonts w:cs="Arial"/>
                <w:color w:val="000000"/>
                <w:sz w:val="18"/>
                <w:szCs w:val="18"/>
              </w:rPr>
              <w:t>3</w:t>
            </w:r>
          </w:p>
        </w:tc>
        <w:tc>
          <w:tcPr>
            <w:tcW w:w="445" w:type="pct"/>
            <w:tcBorders>
              <w:top w:val="single" w:sz="4" w:space="0" w:color="auto"/>
              <w:left w:val="single" w:sz="4" w:space="0" w:color="auto"/>
              <w:bottom w:val="single" w:sz="4" w:space="0" w:color="auto"/>
              <w:right w:val="single" w:sz="4" w:space="0" w:color="auto"/>
            </w:tcBorders>
          </w:tcPr>
          <w:p w14:paraId="631B9D04" w14:textId="5073DCA2" w:rsidR="00740B00" w:rsidRPr="00FC6870" w:rsidRDefault="00E31ED7" w:rsidP="003A7A56">
            <w:pPr>
              <w:spacing w:before="120" w:after="120"/>
              <w:rPr>
                <w:rFonts w:cs="Arial"/>
                <w:i/>
                <w:iCs/>
                <w:sz w:val="18"/>
                <w:szCs w:val="18"/>
              </w:rPr>
            </w:pPr>
            <w:r w:rsidRPr="00551B75">
              <w:rPr>
                <w:rFonts w:cs="Arial"/>
                <w:iCs/>
                <w:sz w:val="18"/>
                <w:szCs w:val="18"/>
              </w:rPr>
              <w:t>Rolls-Royce plc</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31B9D05" w14:textId="213B7C6D" w:rsidR="00740B00" w:rsidRPr="00FC6870" w:rsidRDefault="00A5408A" w:rsidP="003A7A56">
            <w:pPr>
              <w:spacing w:before="120" w:after="120"/>
              <w:jc w:val="center"/>
              <w:rPr>
                <w:rFonts w:cs="Arial"/>
                <w:sz w:val="18"/>
                <w:szCs w:val="18"/>
              </w:rPr>
            </w:pPr>
            <w:r>
              <w:rPr>
                <w:rFonts w:cs="Arial"/>
                <w:sz w:val="18"/>
                <w:szCs w:val="18"/>
              </w:rPr>
              <w:t>N/A</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31B9D06" w14:textId="02213718" w:rsidR="00740B00" w:rsidRPr="00FC6870" w:rsidRDefault="00A5408A" w:rsidP="003A7A56">
            <w:pPr>
              <w:spacing w:before="120" w:after="120"/>
              <w:jc w:val="center"/>
              <w:rPr>
                <w:rFonts w:cs="Arial"/>
                <w:sz w:val="18"/>
                <w:szCs w:val="18"/>
              </w:rPr>
            </w:pPr>
            <w:r>
              <w:rPr>
                <w:rFonts w:cs="Arial"/>
                <w:sz w:val="18"/>
                <w:szCs w:val="18"/>
              </w:rPr>
              <w:t>N/A</w:t>
            </w:r>
          </w:p>
        </w:tc>
        <w:tc>
          <w:tcPr>
            <w:tcW w:w="1218" w:type="pct"/>
            <w:tcBorders>
              <w:top w:val="single" w:sz="4" w:space="0" w:color="auto"/>
              <w:left w:val="single" w:sz="4" w:space="0" w:color="auto"/>
              <w:bottom w:val="single" w:sz="4" w:space="0" w:color="auto"/>
              <w:right w:val="single" w:sz="4" w:space="0" w:color="auto"/>
            </w:tcBorders>
          </w:tcPr>
          <w:p w14:paraId="631B9D07" w14:textId="644E8424" w:rsidR="00740B00" w:rsidRPr="00551B75" w:rsidRDefault="00A5408A" w:rsidP="00A5408A">
            <w:pPr>
              <w:rPr>
                <w:color w:val="1F497D"/>
                <w:sz w:val="18"/>
                <w:szCs w:val="18"/>
              </w:rPr>
            </w:pPr>
            <w:r w:rsidRPr="00551B75">
              <w:rPr>
                <w:color w:val="1F497D"/>
                <w:sz w:val="18"/>
                <w:szCs w:val="18"/>
              </w:rPr>
              <w:t xml:space="preserve">It is intended that any DOA could be granted this privilege to modify ALS as minor change once approved or is this only for TC/STC holders? </w:t>
            </w:r>
          </w:p>
        </w:tc>
        <w:tc>
          <w:tcPr>
            <w:tcW w:w="497" w:type="pct"/>
            <w:tcBorders>
              <w:top w:val="single" w:sz="4" w:space="0" w:color="auto"/>
              <w:left w:val="single" w:sz="4" w:space="0" w:color="auto"/>
              <w:bottom w:val="single" w:sz="4" w:space="0" w:color="auto"/>
              <w:right w:val="single" w:sz="4" w:space="0" w:color="auto"/>
            </w:tcBorders>
          </w:tcPr>
          <w:p w14:paraId="631B9D08" w14:textId="77777777" w:rsidR="00740B00" w:rsidRPr="00FC6870" w:rsidRDefault="00740B00" w:rsidP="003A7A56">
            <w:pPr>
              <w:spacing w:before="120" w:after="120"/>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tcPr>
          <w:p w14:paraId="631B9D09" w14:textId="77777777" w:rsidR="00740B00" w:rsidRPr="00FC6870" w:rsidRDefault="00740B00" w:rsidP="003A7A56">
            <w:pPr>
              <w:spacing w:before="120" w:after="120"/>
              <w:jc w:val="center"/>
              <w:rPr>
                <w:rFonts w:cs="Arial"/>
                <w:sz w:val="18"/>
                <w:szCs w:val="18"/>
              </w:rPr>
            </w:pPr>
          </w:p>
        </w:tc>
        <w:tc>
          <w:tcPr>
            <w:tcW w:w="378" w:type="pct"/>
            <w:tcBorders>
              <w:top w:val="single" w:sz="4" w:space="0" w:color="auto"/>
              <w:left w:val="single" w:sz="4" w:space="0" w:color="auto"/>
              <w:bottom w:val="single" w:sz="4" w:space="0" w:color="auto"/>
              <w:right w:val="single" w:sz="12" w:space="0" w:color="auto"/>
            </w:tcBorders>
          </w:tcPr>
          <w:p w14:paraId="631B9D0A" w14:textId="77777777" w:rsidR="00740B00" w:rsidRPr="00FC6870" w:rsidRDefault="00740B00" w:rsidP="003A7A56">
            <w:pPr>
              <w:spacing w:before="120" w:after="120"/>
              <w:jc w:val="center"/>
              <w:rPr>
                <w:rFonts w:cs="Arial"/>
                <w:sz w:val="18"/>
                <w:szCs w:val="18"/>
              </w:rPr>
            </w:pPr>
          </w:p>
        </w:tc>
        <w:tc>
          <w:tcPr>
            <w:tcW w:w="303" w:type="pct"/>
            <w:tcBorders>
              <w:top w:val="single" w:sz="4" w:space="0" w:color="auto"/>
              <w:left w:val="single" w:sz="12" w:space="0" w:color="auto"/>
              <w:bottom w:val="single" w:sz="4" w:space="0" w:color="auto"/>
              <w:right w:val="single" w:sz="4" w:space="0" w:color="auto"/>
            </w:tcBorders>
            <w:shd w:val="clear" w:color="auto" w:fill="E6E6E6"/>
          </w:tcPr>
          <w:p w14:paraId="631B9D0B" w14:textId="206D9D51" w:rsidR="00740B00" w:rsidRPr="00340B1F" w:rsidRDefault="00893BC1" w:rsidP="003A7A56">
            <w:pPr>
              <w:spacing w:before="120" w:after="120"/>
              <w:jc w:val="center"/>
              <w:rPr>
                <w:rFonts w:cs="Arial"/>
                <w:b/>
                <w:sz w:val="18"/>
                <w:szCs w:val="18"/>
              </w:rPr>
            </w:pPr>
            <w:r w:rsidRPr="00340B1F">
              <w:rPr>
                <w:rFonts w:cs="Arial"/>
                <w:b/>
                <w:sz w:val="18"/>
                <w:szCs w:val="18"/>
              </w:rPr>
              <w:t>Noted</w:t>
            </w:r>
          </w:p>
        </w:tc>
        <w:tc>
          <w:tcPr>
            <w:tcW w:w="845" w:type="pct"/>
            <w:tcBorders>
              <w:top w:val="single" w:sz="4" w:space="0" w:color="auto"/>
              <w:left w:val="single" w:sz="4" w:space="0" w:color="auto"/>
              <w:bottom w:val="single" w:sz="4" w:space="0" w:color="auto"/>
            </w:tcBorders>
            <w:shd w:val="clear" w:color="auto" w:fill="E6E6E6"/>
          </w:tcPr>
          <w:p w14:paraId="631B9D0C" w14:textId="52D3B6E6" w:rsidR="00740B00" w:rsidRPr="00FC6870" w:rsidRDefault="00893BC1" w:rsidP="00893BC1">
            <w:pPr>
              <w:spacing w:before="120" w:after="120"/>
              <w:rPr>
                <w:rFonts w:cs="Verdana"/>
                <w:sz w:val="18"/>
                <w:szCs w:val="18"/>
                <w:lang w:eastAsia="de-CH"/>
              </w:rPr>
            </w:pPr>
            <w:r>
              <w:rPr>
                <w:rFonts w:cs="Verdana"/>
                <w:sz w:val="18"/>
                <w:szCs w:val="18"/>
                <w:lang w:eastAsia="de-CH"/>
              </w:rPr>
              <w:t>Even if there is no explicit limitation in the application of these classification criteria, it is expected that only the TC holders (and in some limited case the STC holders) may have the necessary data to be able to implement</w:t>
            </w:r>
            <w:r w:rsidR="00593ED6">
              <w:rPr>
                <w:rFonts w:cs="Verdana"/>
                <w:sz w:val="18"/>
                <w:szCs w:val="18"/>
                <w:lang w:eastAsia="de-CH"/>
              </w:rPr>
              <w:t xml:space="preserve"> (some of)</w:t>
            </w:r>
            <w:r>
              <w:rPr>
                <w:rFonts w:cs="Verdana"/>
                <w:sz w:val="18"/>
                <w:szCs w:val="18"/>
                <w:lang w:eastAsia="de-CH"/>
              </w:rPr>
              <w:t xml:space="preserve"> these criteria. In any case, </w:t>
            </w:r>
            <w:r w:rsidR="00E31ED7">
              <w:rPr>
                <w:rFonts w:cs="Verdana"/>
                <w:sz w:val="18"/>
                <w:szCs w:val="18"/>
                <w:lang w:eastAsia="de-CH"/>
              </w:rPr>
              <w:t xml:space="preserve">the extension of the DOA privileges to classify and approve minor ALS changes shall be subject of an application for Significant Change to the Design Assurance System. </w:t>
            </w:r>
            <w:r>
              <w:rPr>
                <w:rFonts w:cs="Verdana"/>
                <w:sz w:val="18"/>
                <w:szCs w:val="18"/>
                <w:lang w:eastAsia="de-CH"/>
              </w:rPr>
              <w:t xml:space="preserve">  </w:t>
            </w:r>
          </w:p>
        </w:tc>
      </w:tr>
      <w:tr w:rsidR="00340B1F" w:rsidRPr="00FC6870" w14:paraId="631B9D18" w14:textId="77777777" w:rsidTr="00340B1F">
        <w:trPr>
          <w:cantSplit/>
        </w:trPr>
        <w:tc>
          <w:tcPr>
            <w:tcW w:w="183" w:type="pct"/>
            <w:tcBorders>
              <w:top w:val="single" w:sz="4" w:space="0" w:color="auto"/>
              <w:bottom w:val="single" w:sz="4" w:space="0" w:color="auto"/>
              <w:right w:val="single" w:sz="4" w:space="0" w:color="auto"/>
            </w:tcBorders>
          </w:tcPr>
          <w:p w14:paraId="631B9D0E" w14:textId="77777777" w:rsidR="00740B00" w:rsidRPr="00FC6870" w:rsidRDefault="00740B00" w:rsidP="003A7A56">
            <w:pPr>
              <w:spacing w:before="120" w:after="120"/>
              <w:jc w:val="center"/>
              <w:rPr>
                <w:rFonts w:cs="Arial"/>
                <w:color w:val="000000"/>
                <w:sz w:val="18"/>
                <w:szCs w:val="18"/>
              </w:rPr>
            </w:pPr>
            <w:r w:rsidRPr="00FC6870">
              <w:rPr>
                <w:rFonts w:cs="Arial"/>
                <w:color w:val="000000"/>
                <w:sz w:val="18"/>
                <w:szCs w:val="18"/>
              </w:rPr>
              <w:lastRenderedPageBreak/>
              <w:t>4</w:t>
            </w:r>
          </w:p>
        </w:tc>
        <w:tc>
          <w:tcPr>
            <w:tcW w:w="445" w:type="pct"/>
            <w:tcBorders>
              <w:top w:val="single" w:sz="4" w:space="0" w:color="auto"/>
              <w:left w:val="single" w:sz="4" w:space="0" w:color="auto"/>
              <w:bottom w:val="single" w:sz="4" w:space="0" w:color="auto"/>
              <w:right w:val="single" w:sz="4" w:space="0" w:color="auto"/>
            </w:tcBorders>
          </w:tcPr>
          <w:p w14:paraId="631B9D0F" w14:textId="2925D34A" w:rsidR="00740B00" w:rsidRPr="00E31ED7" w:rsidRDefault="00E31ED7" w:rsidP="003A7A56">
            <w:pPr>
              <w:spacing w:before="120" w:after="120"/>
              <w:rPr>
                <w:rFonts w:cs="Arial"/>
                <w:iCs/>
                <w:sz w:val="18"/>
                <w:szCs w:val="18"/>
              </w:rPr>
            </w:pPr>
            <w:r w:rsidRPr="00E31ED7">
              <w:rPr>
                <w:rFonts w:cs="Arial"/>
                <w:iCs/>
                <w:sz w:val="18"/>
                <w:szCs w:val="18"/>
              </w:rPr>
              <w:t>Federal Office of Civil Aviation (FOCA)</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31B9D10" w14:textId="2346BF9D" w:rsidR="00740B00" w:rsidRPr="00FC6870" w:rsidRDefault="00E31ED7" w:rsidP="003A7A56">
            <w:pPr>
              <w:spacing w:before="120" w:after="120"/>
              <w:jc w:val="center"/>
              <w:rPr>
                <w:rFonts w:cs="Arial"/>
                <w:sz w:val="18"/>
                <w:szCs w:val="18"/>
              </w:rPr>
            </w:pPr>
            <w:r>
              <w:rPr>
                <w:rFonts w:cs="Arial"/>
                <w:sz w:val="18"/>
                <w:szCs w:val="18"/>
              </w:rPr>
              <w:t>Item 7</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31B9D11" w14:textId="6C31B855" w:rsidR="00740B00" w:rsidRPr="00FC6870" w:rsidRDefault="00E31ED7" w:rsidP="003A7A56">
            <w:pPr>
              <w:spacing w:before="120" w:after="120"/>
              <w:jc w:val="center"/>
              <w:rPr>
                <w:rFonts w:cs="Arial"/>
                <w:sz w:val="18"/>
                <w:szCs w:val="18"/>
              </w:rPr>
            </w:pPr>
            <w:r>
              <w:rPr>
                <w:rFonts w:cs="Arial"/>
                <w:sz w:val="18"/>
                <w:szCs w:val="18"/>
              </w:rPr>
              <w:t>2</w:t>
            </w:r>
          </w:p>
        </w:tc>
        <w:tc>
          <w:tcPr>
            <w:tcW w:w="1218" w:type="pct"/>
            <w:tcBorders>
              <w:top w:val="single" w:sz="4" w:space="0" w:color="auto"/>
              <w:left w:val="single" w:sz="4" w:space="0" w:color="auto"/>
              <w:bottom w:val="single" w:sz="4" w:space="0" w:color="auto"/>
              <w:right w:val="single" w:sz="4" w:space="0" w:color="auto"/>
            </w:tcBorders>
          </w:tcPr>
          <w:p w14:paraId="2939FBF1" w14:textId="77777777" w:rsidR="00E31ED7" w:rsidRPr="00E31ED7" w:rsidRDefault="00E31ED7" w:rsidP="00E31ED7">
            <w:pPr>
              <w:rPr>
                <w:sz w:val="18"/>
                <w:szCs w:val="18"/>
                <w:lang w:val="en-US" w:eastAsia="en-US"/>
              </w:rPr>
            </w:pPr>
            <w:r w:rsidRPr="00E31ED7">
              <w:rPr>
                <w:sz w:val="18"/>
                <w:szCs w:val="18"/>
              </w:rPr>
              <w:t>We propose to delete ID7 because:</w:t>
            </w:r>
          </w:p>
          <w:p w14:paraId="30830A25" w14:textId="77777777" w:rsidR="00E31ED7" w:rsidRPr="00E31ED7" w:rsidRDefault="00E31ED7" w:rsidP="00E31ED7">
            <w:pPr>
              <w:pStyle w:val="ListParagraph"/>
              <w:numPr>
                <w:ilvl w:val="0"/>
                <w:numId w:val="12"/>
              </w:numPr>
              <w:contextualSpacing w:val="0"/>
              <w:rPr>
                <w:sz w:val="18"/>
                <w:szCs w:val="18"/>
              </w:rPr>
            </w:pPr>
            <w:r w:rsidRPr="00E31ED7">
              <w:rPr>
                <w:sz w:val="18"/>
                <w:szCs w:val="18"/>
              </w:rPr>
              <w:t>Anti-MOD is not defined in Part 21.</w:t>
            </w:r>
          </w:p>
          <w:p w14:paraId="631B9D12" w14:textId="77777777" w:rsidR="00740B00" w:rsidRPr="00FC6870" w:rsidRDefault="00740B00" w:rsidP="003A7A56">
            <w:pPr>
              <w:spacing w:before="120" w:after="120"/>
              <w:rPr>
                <w:rFonts w:cs="Arial"/>
                <w:sz w:val="18"/>
                <w:szCs w:val="18"/>
              </w:rPr>
            </w:pPr>
          </w:p>
        </w:tc>
        <w:tc>
          <w:tcPr>
            <w:tcW w:w="497" w:type="pct"/>
            <w:tcBorders>
              <w:top w:val="single" w:sz="4" w:space="0" w:color="auto"/>
              <w:left w:val="single" w:sz="4" w:space="0" w:color="auto"/>
              <w:bottom w:val="single" w:sz="4" w:space="0" w:color="auto"/>
              <w:right w:val="single" w:sz="4" w:space="0" w:color="auto"/>
            </w:tcBorders>
          </w:tcPr>
          <w:p w14:paraId="631B9D13" w14:textId="77777777" w:rsidR="00740B00" w:rsidRPr="00FC6870" w:rsidRDefault="00740B00" w:rsidP="003A7A56">
            <w:pPr>
              <w:spacing w:before="120" w:after="120"/>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tcPr>
          <w:p w14:paraId="631B9D14" w14:textId="77777777" w:rsidR="00740B00" w:rsidRPr="00FC6870" w:rsidRDefault="00740B00" w:rsidP="003A7A56">
            <w:pPr>
              <w:spacing w:before="120" w:after="120"/>
              <w:jc w:val="center"/>
              <w:rPr>
                <w:rFonts w:cs="Arial"/>
                <w:sz w:val="18"/>
                <w:szCs w:val="18"/>
              </w:rPr>
            </w:pPr>
          </w:p>
        </w:tc>
        <w:tc>
          <w:tcPr>
            <w:tcW w:w="378" w:type="pct"/>
            <w:tcBorders>
              <w:top w:val="single" w:sz="4" w:space="0" w:color="auto"/>
              <w:left w:val="single" w:sz="4" w:space="0" w:color="auto"/>
              <w:bottom w:val="single" w:sz="4" w:space="0" w:color="auto"/>
              <w:right w:val="single" w:sz="12" w:space="0" w:color="auto"/>
            </w:tcBorders>
          </w:tcPr>
          <w:p w14:paraId="631B9D15" w14:textId="77777777" w:rsidR="00740B00" w:rsidRPr="00FC6870" w:rsidRDefault="00740B00" w:rsidP="003A7A56">
            <w:pPr>
              <w:spacing w:before="120" w:after="120"/>
              <w:jc w:val="center"/>
              <w:rPr>
                <w:rFonts w:cs="Arial"/>
                <w:sz w:val="18"/>
                <w:szCs w:val="18"/>
              </w:rPr>
            </w:pPr>
          </w:p>
        </w:tc>
        <w:tc>
          <w:tcPr>
            <w:tcW w:w="303" w:type="pct"/>
            <w:tcBorders>
              <w:top w:val="single" w:sz="4" w:space="0" w:color="auto"/>
              <w:left w:val="single" w:sz="12" w:space="0" w:color="auto"/>
              <w:bottom w:val="single" w:sz="4" w:space="0" w:color="auto"/>
              <w:right w:val="single" w:sz="4" w:space="0" w:color="auto"/>
            </w:tcBorders>
            <w:shd w:val="clear" w:color="auto" w:fill="E6E6E6"/>
          </w:tcPr>
          <w:p w14:paraId="631B9D16" w14:textId="247ADA68" w:rsidR="00740B00" w:rsidRPr="00340B1F" w:rsidRDefault="00E31ED7" w:rsidP="003A7A56">
            <w:pPr>
              <w:spacing w:before="120" w:after="120"/>
              <w:jc w:val="center"/>
              <w:rPr>
                <w:rFonts w:cs="Arial"/>
                <w:b/>
                <w:sz w:val="18"/>
                <w:szCs w:val="18"/>
              </w:rPr>
            </w:pPr>
            <w:r w:rsidRPr="00340B1F">
              <w:rPr>
                <w:rFonts w:cs="Arial"/>
                <w:b/>
                <w:sz w:val="18"/>
                <w:szCs w:val="18"/>
              </w:rPr>
              <w:t>Partially accepted</w:t>
            </w:r>
          </w:p>
        </w:tc>
        <w:tc>
          <w:tcPr>
            <w:tcW w:w="845" w:type="pct"/>
            <w:tcBorders>
              <w:top w:val="single" w:sz="4" w:space="0" w:color="auto"/>
              <w:left w:val="single" w:sz="4" w:space="0" w:color="auto"/>
              <w:bottom w:val="single" w:sz="4" w:space="0" w:color="auto"/>
            </w:tcBorders>
            <w:shd w:val="clear" w:color="auto" w:fill="E6E6E6"/>
          </w:tcPr>
          <w:p w14:paraId="631B9D17" w14:textId="2A9CE9BE" w:rsidR="00740B00" w:rsidRPr="00FC6870" w:rsidRDefault="00E31ED7" w:rsidP="003A7A56">
            <w:pPr>
              <w:spacing w:before="120" w:after="120"/>
              <w:rPr>
                <w:rFonts w:cs="Arial"/>
                <w:sz w:val="18"/>
                <w:szCs w:val="18"/>
              </w:rPr>
            </w:pPr>
            <w:r>
              <w:rPr>
                <w:rFonts w:cs="Arial"/>
                <w:sz w:val="18"/>
                <w:szCs w:val="18"/>
              </w:rPr>
              <w:t>Indeed, an “anti-mod” is not defined in Part 21. However, this cannot constitute a reason to delete the respective item. Instead, the following definition is proposed to be introduced in the DOARI: “</w:t>
            </w:r>
            <w:r w:rsidRPr="00F61401">
              <w:rPr>
                <w:rFonts w:cs="Arial"/>
                <w:color w:val="FF0000"/>
                <w:sz w:val="18"/>
                <w:szCs w:val="18"/>
              </w:rPr>
              <w:t>An “anti-mod” is a design change which defines a mean of removing a previously installed design change</w:t>
            </w:r>
            <w:r>
              <w:rPr>
                <w:rFonts w:cs="Arial"/>
                <w:sz w:val="18"/>
                <w:szCs w:val="18"/>
              </w:rPr>
              <w:t>”.</w:t>
            </w:r>
          </w:p>
        </w:tc>
      </w:tr>
      <w:tr w:rsidR="00340B1F" w:rsidRPr="00FC6870" w14:paraId="59E90827" w14:textId="77777777" w:rsidTr="00340B1F">
        <w:trPr>
          <w:cantSplit/>
        </w:trPr>
        <w:tc>
          <w:tcPr>
            <w:tcW w:w="183" w:type="pct"/>
            <w:tcBorders>
              <w:top w:val="single" w:sz="4" w:space="0" w:color="auto"/>
              <w:bottom w:val="single" w:sz="4" w:space="0" w:color="auto"/>
              <w:right w:val="single" w:sz="4" w:space="0" w:color="auto"/>
            </w:tcBorders>
          </w:tcPr>
          <w:p w14:paraId="77758AAE" w14:textId="5BEAAE16" w:rsidR="00E31ED7" w:rsidRPr="00FC6870" w:rsidRDefault="00E31ED7" w:rsidP="00E31ED7">
            <w:pPr>
              <w:spacing w:before="120" w:after="120"/>
              <w:jc w:val="center"/>
              <w:rPr>
                <w:rFonts w:cs="Arial"/>
                <w:color w:val="000000"/>
                <w:sz w:val="18"/>
                <w:szCs w:val="18"/>
              </w:rPr>
            </w:pPr>
            <w:r>
              <w:rPr>
                <w:rFonts w:cs="Arial"/>
                <w:color w:val="000000"/>
                <w:sz w:val="18"/>
                <w:szCs w:val="18"/>
              </w:rPr>
              <w:lastRenderedPageBreak/>
              <w:t>5</w:t>
            </w:r>
          </w:p>
        </w:tc>
        <w:tc>
          <w:tcPr>
            <w:tcW w:w="445" w:type="pct"/>
            <w:tcBorders>
              <w:top w:val="single" w:sz="4" w:space="0" w:color="auto"/>
              <w:left w:val="single" w:sz="4" w:space="0" w:color="auto"/>
              <w:bottom w:val="single" w:sz="4" w:space="0" w:color="auto"/>
              <w:right w:val="single" w:sz="4" w:space="0" w:color="auto"/>
            </w:tcBorders>
          </w:tcPr>
          <w:p w14:paraId="73562321" w14:textId="363F380B" w:rsidR="00E31ED7" w:rsidRPr="00E31ED7" w:rsidRDefault="00E31ED7" w:rsidP="00E31ED7">
            <w:pPr>
              <w:spacing w:before="120" w:after="120"/>
              <w:rPr>
                <w:rFonts w:cs="Arial"/>
                <w:iCs/>
                <w:sz w:val="18"/>
                <w:szCs w:val="18"/>
              </w:rPr>
            </w:pPr>
            <w:r w:rsidRPr="00E31ED7">
              <w:rPr>
                <w:rFonts w:cs="Arial"/>
                <w:iCs/>
                <w:sz w:val="18"/>
                <w:szCs w:val="18"/>
              </w:rPr>
              <w:t>Federal Office of Civil Aviation (FOCA)</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A8E94CF" w14:textId="2732A932" w:rsidR="00E31ED7" w:rsidRDefault="00E31ED7" w:rsidP="00E31ED7">
            <w:pPr>
              <w:spacing w:before="120" w:after="120"/>
              <w:jc w:val="center"/>
              <w:rPr>
                <w:rFonts w:cs="Arial"/>
                <w:sz w:val="18"/>
                <w:szCs w:val="18"/>
              </w:rPr>
            </w:pPr>
            <w:r>
              <w:rPr>
                <w:rFonts w:cs="Arial"/>
                <w:sz w:val="18"/>
                <w:szCs w:val="18"/>
              </w:rPr>
              <w:t>Item 9</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AEFB1B9" w14:textId="1F15A325" w:rsidR="00E31ED7" w:rsidRDefault="00E31ED7" w:rsidP="00E31ED7">
            <w:pPr>
              <w:spacing w:before="120" w:after="120"/>
              <w:jc w:val="center"/>
              <w:rPr>
                <w:rFonts w:cs="Arial"/>
                <w:sz w:val="18"/>
                <w:szCs w:val="18"/>
              </w:rPr>
            </w:pPr>
            <w:r>
              <w:rPr>
                <w:rFonts w:cs="Arial"/>
                <w:sz w:val="18"/>
                <w:szCs w:val="18"/>
              </w:rPr>
              <w:t>2</w:t>
            </w:r>
          </w:p>
        </w:tc>
        <w:tc>
          <w:tcPr>
            <w:tcW w:w="1218" w:type="pct"/>
            <w:tcBorders>
              <w:top w:val="single" w:sz="4" w:space="0" w:color="auto"/>
              <w:left w:val="single" w:sz="4" w:space="0" w:color="auto"/>
              <w:bottom w:val="single" w:sz="4" w:space="0" w:color="auto"/>
              <w:right w:val="single" w:sz="4" w:space="0" w:color="auto"/>
            </w:tcBorders>
          </w:tcPr>
          <w:p w14:paraId="56AE39A7" w14:textId="77777777" w:rsidR="00340B1F" w:rsidRPr="00340B1F" w:rsidRDefault="00340B1F" w:rsidP="00340B1F">
            <w:pPr>
              <w:rPr>
                <w:sz w:val="18"/>
                <w:szCs w:val="18"/>
                <w:lang w:val="en-US" w:eastAsia="en-US"/>
              </w:rPr>
            </w:pPr>
            <w:r w:rsidRPr="00340B1F">
              <w:rPr>
                <w:sz w:val="18"/>
                <w:szCs w:val="18"/>
              </w:rPr>
              <w:t>We propose to delete ID9 because:</w:t>
            </w:r>
          </w:p>
          <w:p w14:paraId="74E691FC" w14:textId="77777777" w:rsidR="00340B1F" w:rsidRPr="00340B1F" w:rsidRDefault="00340B1F" w:rsidP="00340B1F">
            <w:pPr>
              <w:pStyle w:val="ListParagraph"/>
              <w:numPr>
                <w:ilvl w:val="0"/>
                <w:numId w:val="12"/>
              </w:numPr>
              <w:contextualSpacing w:val="0"/>
              <w:rPr>
                <w:sz w:val="18"/>
                <w:szCs w:val="18"/>
              </w:rPr>
            </w:pPr>
            <w:r w:rsidRPr="00340B1F">
              <w:rPr>
                <w:sz w:val="18"/>
                <w:szCs w:val="18"/>
              </w:rPr>
              <w:t xml:space="preserve">Safety analysis assumptions are complex in their nature, the impact of refined reliability on other safety assumptions should be reviewed by the competent </w:t>
            </w:r>
            <w:proofErr w:type="gramStart"/>
            <w:r w:rsidRPr="00340B1F">
              <w:rPr>
                <w:sz w:val="18"/>
                <w:szCs w:val="18"/>
              </w:rPr>
              <w:t>authority;</w:t>
            </w:r>
            <w:proofErr w:type="gramEnd"/>
          </w:p>
          <w:p w14:paraId="4C7B53FA" w14:textId="77777777" w:rsidR="00340B1F" w:rsidRPr="00340B1F" w:rsidRDefault="00340B1F" w:rsidP="00340B1F">
            <w:pPr>
              <w:pStyle w:val="ListParagraph"/>
              <w:numPr>
                <w:ilvl w:val="0"/>
                <w:numId w:val="12"/>
              </w:numPr>
              <w:contextualSpacing w:val="0"/>
              <w:rPr>
                <w:sz w:val="18"/>
                <w:szCs w:val="18"/>
              </w:rPr>
            </w:pPr>
            <w:r w:rsidRPr="00340B1F">
              <w:rPr>
                <w:sz w:val="18"/>
                <w:szCs w:val="18"/>
              </w:rPr>
              <w:t xml:space="preserve">In terms of improved failure rates which are demonstrated by test: the method of the test should be agreed with the competent </w:t>
            </w:r>
            <w:proofErr w:type="gramStart"/>
            <w:r w:rsidRPr="00340B1F">
              <w:rPr>
                <w:sz w:val="18"/>
                <w:szCs w:val="18"/>
              </w:rPr>
              <w:t>authority;</w:t>
            </w:r>
            <w:proofErr w:type="gramEnd"/>
          </w:p>
          <w:p w14:paraId="32517929" w14:textId="77777777" w:rsidR="00340B1F" w:rsidRPr="00340B1F" w:rsidRDefault="00340B1F" w:rsidP="00340B1F">
            <w:pPr>
              <w:pStyle w:val="ListParagraph"/>
              <w:numPr>
                <w:ilvl w:val="0"/>
                <w:numId w:val="12"/>
              </w:numPr>
              <w:contextualSpacing w:val="0"/>
              <w:rPr>
                <w:sz w:val="18"/>
                <w:szCs w:val="18"/>
              </w:rPr>
            </w:pPr>
            <w:r w:rsidRPr="00340B1F">
              <w:rPr>
                <w:sz w:val="18"/>
                <w:szCs w:val="18"/>
              </w:rPr>
              <w:t xml:space="preserve">In terms of improved failure rates which are demonstrated by in-service experience: </w:t>
            </w:r>
          </w:p>
          <w:p w14:paraId="7AA1DD7A" w14:textId="77777777" w:rsidR="00340B1F" w:rsidRPr="00340B1F" w:rsidRDefault="00340B1F" w:rsidP="00340B1F">
            <w:pPr>
              <w:pStyle w:val="ListParagraph"/>
              <w:numPr>
                <w:ilvl w:val="1"/>
                <w:numId w:val="13"/>
              </w:numPr>
              <w:contextualSpacing w:val="0"/>
              <w:rPr>
                <w:sz w:val="18"/>
                <w:szCs w:val="18"/>
              </w:rPr>
            </w:pPr>
            <w:r w:rsidRPr="00340B1F">
              <w:rPr>
                <w:sz w:val="18"/>
                <w:szCs w:val="18"/>
              </w:rPr>
              <w:t xml:space="preserve">The methodology of evaluating the in-service experience should be agreed with the competent </w:t>
            </w:r>
            <w:proofErr w:type="gramStart"/>
            <w:r w:rsidRPr="00340B1F">
              <w:rPr>
                <w:sz w:val="18"/>
                <w:szCs w:val="18"/>
              </w:rPr>
              <w:t>authority;</w:t>
            </w:r>
            <w:proofErr w:type="gramEnd"/>
          </w:p>
          <w:p w14:paraId="2EBA8B61" w14:textId="77777777" w:rsidR="00340B1F" w:rsidRPr="00340B1F" w:rsidRDefault="00340B1F" w:rsidP="00340B1F">
            <w:pPr>
              <w:pStyle w:val="ListParagraph"/>
              <w:numPr>
                <w:ilvl w:val="1"/>
                <w:numId w:val="13"/>
              </w:numPr>
              <w:contextualSpacing w:val="0"/>
              <w:rPr>
                <w:sz w:val="18"/>
                <w:szCs w:val="18"/>
              </w:rPr>
            </w:pPr>
            <w:r w:rsidRPr="00340B1F">
              <w:rPr>
                <w:sz w:val="18"/>
                <w:szCs w:val="18"/>
              </w:rPr>
              <w:t xml:space="preserve">In-service reliability is not necessarily adequate to be used in the safety assessments, the calculated reliability (based on FMEA) should be used which allows to systematically cover all relevant failure </w:t>
            </w:r>
            <w:proofErr w:type="gramStart"/>
            <w:r w:rsidRPr="00340B1F">
              <w:rPr>
                <w:sz w:val="18"/>
                <w:szCs w:val="18"/>
              </w:rPr>
              <w:t>modes;</w:t>
            </w:r>
            <w:proofErr w:type="gramEnd"/>
          </w:p>
          <w:p w14:paraId="4581DE08" w14:textId="77777777" w:rsidR="00340B1F" w:rsidRPr="00340B1F" w:rsidRDefault="00340B1F" w:rsidP="00340B1F">
            <w:pPr>
              <w:pStyle w:val="ListParagraph"/>
              <w:numPr>
                <w:ilvl w:val="1"/>
                <w:numId w:val="13"/>
              </w:numPr>
              <w:contextualSpacing w:val="0"/>
              <w:rPr>
                <w:sz w:val="18"/>
                <w:szCs w:val="18"/>
              </w:rPr>
            </w:pPr>
            <w:r w:rsidRPr="00340B1F">
              <w:rPr>
                <w:sz w:val="18"/>
                <w:szCs w:val="18"/>
              </w:rPr>
              <w:t xml:space="preserve">Good in-service reliability is a result of proper existing maintenance program. Extension of intervals might have an adverse impact on the in-service reliability, especially if combined with interval extension for other maintenance </w:t>
            </w:r>
            <w:proofErr w:type="gramStart"/>
            <w:r w:rsidRPr="00340B1F">
              <w:rPr>
                <w:sz w:val="18"/>
                <w:szCs w:val="18"/>
              </w:rPr>
              <w:t>tasks;</w:t>
            </w:r>
            <w:proofErr w:type="gramEnd"/>
          </w:p>
          <w:p w14:paraId="222FB1EC" w14:textId="77777777" w:rsidR="00340B1F" w:rsidRPr="00340B1F" w:rsidRDefault="00340B1F" w:rsidP="00340B1F">
            <w:pPr>
              <w:pStyle w:val="ListParagraph"/>
              <w:numPr>
                <w:ilvl w:val="1"/>
                <w:numId w:val="13"/>
              </w:numPr>
              <w:contextualSpacing w:val="0"/>
              <w:rPr>
                <w:sz w:val="18"/>
                <w:szCs w:val="18"/>
              </w:rPr>
            </w:pPr>
            <w:r w:rsidRPr="00340B1F">
              <w:rPr>
                <w:sz w:val="18"/>
                <w:szCs w:val="18"/>
              </w:rPr>
              <w:t>Statistic relevance should be agreed with the competent authority.</w:t>
            </w:r>
          </w:p>
          <w:p w14:paraId="1AC97C7C" w14:textId="77777777" w:rsidR="00340B1F" w:rsidRPr="00340B1F" w:rsidRDefault="00340B1F" w:rsidP="00340B1F">
            <w:pPr>
              <w:pStyle w:val="ListParagraph"/>
              <w:numPr>
                <w:ilvl w:val="0"/>
                <w:numId w:val="12"/>
              </w:numPr>
              <w:contextualSpacing w:val="0"/>
              <w:rPr>
                <w:color w:val="1F497D"/>
                <w:sz w:val="18"/>
                <w:szCs w:val="18"/>
              </w:rPr>
            </w:pPr>
            <w:proofErr w:type="gramStart"/>
            <w:r w:rsidRPr="00340B1F">
              <w:rPr>
                <w:sz w:val="18"/>
                <w:szCs w:val="18"/>
              </w:rPr>
              <w:lastRenderedPageBreak/>
              <w:t>Basically</w:t>
            </w:r>
            <w:proofErr w:type="gramEnd"/>
            <w:r w:rsidRPr="00340B1F">
              <w:rPr>
                <w:sz w:val="18"/>
                <w:szCs w:val="18"/>
              </w:rPr>
              <w:t xml:space="preserve"> this point should be deleted as there are sufficient means to deal with it in the near future with privileges on MAJOR change to be granted to DOA that have shown good performances in this field (including internal processes for minor and safety methodology in use) and to be dealt with request for reclassification in the interim period.</w:t>
            </w:r>
          </w:p>
          <w:p w14:paraId="3881EEF5" w14:textId="77777777" w:rsidR="00E31ED7" w:rsidRPr="00E31ED7" w:rsidRDefault="00E31ED7" w:rsidP="00E31ED7">
            <w:pPr>
              <w:rPr>
                <w:sz w:val="18"/>
                <w:szCs w:val="18"/>
              </w:rPr>
            </w:pPr>
          </w:p>
        </w:tc>
        <w:tc>
          <w:tcPr>
            <w:tcW w:w="497" w:type="pct"/>
            <w:tcBorders>
              <w:top w:val="single" w:sz="4" w:space="0" w:color="auto"/>
              <w:left w:val="single" w:sz="4" w:space="0" w:color="auto"/>
              <w:bottom w:val="single" w:sz="4" w:space="0" w:color="auto"/>
              <w:right w:val="single" w:sz="4" w:space="0" w:color="auto"/>
            </w:tcBorders>
          </w:tcPr>
          <w:p w14:paraId="6BB9044B" w14:textId="77777777" w:rsidR="00E31ED7" w:rsidRPr="00FC6870" w:rsidRDefault="00E31ED7" w:rsidP="00E31ED7">
            <w:pPr>
              <w:spacing w:before="120" w:after="120"/>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tcPr>
          <w:p w14:paraId="33E6A28A" w14:textId="77777777" w:rsidR="00E31ED7" w:rsidRPr="00FC6870" w:rsidRDefault="00E31ED7" w:rsidP="00E31ED7">
            <w:pPr>
              <w:spacing w:before="120" w:after="120"/>
              <w:jc w:val="center"/>
              <w:rPr>
                <w:rFonts w:cs="Arial"/>
                <w:sz w:val="18"/>
                <w:szCs w:val="18"/>
              </w:rPr>
            </w:pPr>
          </w:p>
        </w:tc>
        <w:tc>
          <w:tcPr>
            <w:tcW w:w="378" w:type="pct"/>
            <w:tcBorders>
              <w:top w:val="single" w:sz="4" w:space="0" w:color="auto"/>
              <w:left w:val="single" w:sz="4" w:space="0" w:color="auto"/>
              <w:bottom w:val="single" w:sz="4" w:space="0" w:color="auto"/>
              <w:right w:val="single" w:sz="12" w:space="0" w:color="auto"/>
            </w:tcBorders>
          </w:tcPr>
          <w:p w14:paraId="31F65430" w14:textId="77777777" w:rsidR="00E31ED7" w:rsidRPr="00FC6870" w:rsidRDefault="00E31ED7" w:rsidP="00E31ED7">
            <w:pPr>
              <w:spacing w:before="120" w:after="120"/>
              <w:jc w:val="center"/>
              <w:rPr>
                <w:rFonts w:cs="Arial"/>
                <w:sz w:val="18"/>
                <w:szCs w:val="18"/>
              </w:rPr>
            </w:pPr>
          </w:p>
        </w:tc>
        <w:tc>
          <w:tcPr>
            <w:tcW w:w="303" w:type="pct"/>
            <w:tcBorders>
              <w:top w:val="single" w:sz="4" w:space="0" w:color="auto"/>
              <w:left w:val="single" w:sz="12" w:space="0" w:color="auto"/>
              <w:bottom w:val="single" w:sz="4" w:space="0" w:color="auto"/>
              <w:right w:val="single" w:sz="4" w:space="0" w:color="auto"/>
            </w:tcBorders>
            <w:shd w:val="clear" w:color="auto" w:fill="E6E6E6"/>
          </w:tcPr>
          <w:p w14:paraId="520876ED" w14:textId="301857EA" w:rsidR="00E31ED7" w:rsidRDefault="00F61401" w:rsidP="00E31ED7">
            <w:pPr>
              <w:spacing w:before="120" w:after="120"/>
              <w:jc w:val="center"/>
              <w:rPr>
                <w:rFonts w:cs="Arial"/>
                <w:sz w:val="18"/>
                <w:szCs w:val="18"/>
              </w:rPr>
            </w:pPr>
            <w:r w:rsidRPr="00340B1F">
              <w:rPr>
                <w:rFonts w:cs="Arial"/>
                <w:b/>
                <w:sz w:val="18"/>
                <w:szCs w:val="18"/>
              </w:rPr>
              <w:t>Partially accepted</w:t>
            </w:r>
          </w:p>
        </w:tc>
        <w:tc>
          <w:tcPr>
            <w:tcW w:w="845" w:type="pct"/>
            <w:tcBorders>
              <w:top w:val="single" w:sz="4" w:space="0" w:color="auto"/>
              <w:left w:val="single" w:sz="4" w:space="0" w:color="auto"/>
              <w:bottom w:val="single" w:sz="4" w:space="0" w:color="auto"/>
            </w:tcBorders>
            <w:shd w:val="clear" w:color="auto" w:fill="E6E6E6"/>
          </w:tcPr>
          <w:p w14:paraId="67E7049A" w14:textId="13ACB2C1" w:rsidR="00E31ED7" w:rsidRDefault="001C4D50" w:rsidP="00E31ED7">
            <w:pPr>
              <w:spacing w:before="120" w:after="120"/>
              <w:rPr>
                <w:rFonts w:cs="Arial"/>
                <w:sz w:val="18"/>
                <w:szCs w:val="18"/>
              </w:rPr>
            </w:pPr>
            <w:r>
              <w:rPr>
                <w:rFonts w:cs="Arial"/>
                <w:sz w:val="18"/>
                <w:szCs w:val="18"/>
              </w:rPr>
              <w:t xml:space="preserve"> The safety assumptions are not questioned, except the used failure rates at the time</w:t>
            </w:r>
            <w:r w:rsidR="00F61401">
              <w:rPr>
                <w:rFonts w:cs="Arial"/>
                <w:sz w:val="18"/>
                <w:szCs w:val="18"/>
              </w:rPr>
              <w:t xml:space="preserve"> of</w:t>
            </w:r>
            <w:r>
              <w:rPr>
                <w:rFonts w:cs="Arial"/>
                <w:sz w:val="18"/>
                <w:szCs w:val="18"/>
              </w:rPr>
              <w:t xml:space="preserve"> initial TC. These failure rates might be </w:t>
            </w:r>
            <w:r w:rsidR="00F61401">
              <w:rPr>
                <w:rFonts w:cs="Arial"/>
                <w:sz w:val="18"/>
                <w:szCs w:val="18"/>
              </w:rPr>
              <w:t>changed with</w:t>
            </w:r>
            <w:r>
              <w:rPr>
                <w:rFonts w:cs="Arial"/>
                <w:sz w:val="18"/>
                <w:szCs w:val="18"/>
              </w:rPr>
              <w:t xml:space="preserve"> justifi</w:t>
            </w:r>
            <w:r w:rsidR="00F61401">
              <w:rPr>
                <w:rFonts w:cs="Arial"/>
                <w:sz w:val="18"/>
                <w:szCs w:val="18"/>
              </w:rPr>
              <w:t>cation</w:t>
            </w:r>
            <w:r>
              <w:rPr>
                <w:rFonts w:cs="Arial"/>
                <w:sz w:val="18"/>
                <w:szCs w:val="18"/>
              </w:rPr>
              <w:t xml:space="preserve"> by the in-service experience.</w:t>
            </w:r>
          </w:p>
          <w:p w14:paraId="0AA58DEA" w14:textId="77777777" w:rsidR="001C4D50" w:rsidRDefault="001C4D50" w:rsidP="001C4D50">
            <w:pPr>
              <w:spacing w:before="120" w:after="120"/>
              <w:rPr>
                <w:rFonts w:cs="Arial"/>
                <w:sz w:val="18"/>
                <w:szCs w:val="18"/>
              </w:rPr>
            </w:pPr>
            <w:r>
              <w:rPr>
                <w:rFonts w:cs="Arial"/>
                <w:sz w:val="18"/>
                <w:szCs w:val="18"/>
              </w:rPr>
              <w:t xml:space="preserve">It is agreed that the “test” option is not appropriate and will be removed from </w:t>
            </w:r>
            <w:proofErr w:type="gramStart"/>
            <w:r>
              <w:rPr>
                <w:rFonts w:cs="Arial"/>
                <w:sz w:val="18"/>
                <w:szCs w:val="18"/>
              </w:rPr>
              <w:t>this criteria</w:t>
            </w:r>
            <w:proofErr w:type="gramEnd"/>
            <w:r>
              <w:rPr>
                <w:rFonts w:cs="Arial"/>
                <w:sz w:val="18"/>
                <w:szCs w:val="18"/>
              </w:rPr>
              <w:t>.</w:t>
            </w:r>
          </w:p>
          <w:p w14:paraId="785B9919" w14:textId="77777777" w:rsidR="00A9354D" w:rsidRDefault="001C4D50" w:rsidP="001C4D50">
            <w:pPr>
              <w:spacing w:before="120" w:after="120"/>
              <w:rPr>
                <w:rFonts w:cs="Arial"/>
                <w:sz w:val="18"/>
                <w:szCs w:val="18"/>
              </w:rPr>
            </w:pPr>
            <w:r>
              <w:rPr>
                <w:rFonts w:cs="Arial"/>
                <w:sz w:val="18"/>
                <w:szCs w:val="18"/>
              </w:rPr>
              <w:t>It is also agreed that the methodology for evaluating in service experience should be subject of EASA agreement</w:t>
            </w:r>
            <w:r w:rsidR="00A9354D">
              <w:rPr>
                <w:rFonts w:cs="Arial"/>
                <w:sz w:val="18"/>
                <w:szCs w:val="18"/>
              </w:rPr>
              <w:t>. The criteria will be adjusted accordingly</w:t>
            </w:r>
          </w:p>
          <w:p w14:paraId="556D6920" w14:textId="2A06ED2A" w:rsidR="00A9354D" w:rsidRDefault="00A9354D" w:rsidP="001C4D50">
            <w:pPr>
              <w:spacing w:before="120" w:after="120"/>
              <w:rPr>
                <w:rFonts w:cs="Arial"/>
                <w:sz w:val="18"/>
                <w:szCs w:val="18"/>
              </w:rPr>
            </w:pPr>
            <w:r>
              <w:rPr>
                <w:rFonts w:cs="Arial"/>
                <w:sz w:val="18"/>
                <w:szCs w:val="18"/>
              </w:rPr>
              <w:t xml:space="preserve">Maintenance is of course influencing the reliability of an equipment. However, the </w:t>
            </w:r>
            <w:r w:rsidR="00F61401">
              <w:rPr>
                <w:rFonts w:cs="Arial"/>
                <w:sz w:val="18"/>
                <w:szCs w:val="18"/>
              </w:rPr>
              <w:t xml:space="preserve">proposed </w:t>
            </w:r>
            <w:proofErr w:type="gramStart"/>
            <w:r>
              <w:rPr>
                <w:rFonts w:cs="Arial"/>
                <w:sz w:val="18"/>
                <w:szCs w:val="18"/>
              </w:rPr>
              <w:t>interval  extension</w:t>
            </w:r>
            <w:proofErr w:type="gramEnd"/>
            <w:r>
              <w:rPr>
                <w:rFonts w:cs="Arial"/>
                <w:sz w:val="18"/>
                <w:szCs w:val="18"/>
              </w:rPr>
              <w:t xml:space="preserve"> </w:t>
            </w:r>
            <w:r w:rsidR="00593ED6">
              <w:rPr>
                <w:rFonts w:cs="Arial"/>
                <w:sz w:val="18"/>
                <w:szCs w:val="18"/>
              </w:rPr>
              <w:t>(CMRs</w:t>
            </w:r>
            <w:r w:rsidR="00F1740D">
              <w:rPr>
                <w:rFonts w:cs="Arial"/>
                <w:sz w:val="18"/>
                <w:szCs w:val="18"/>
              </w:rPr>
              <w:t xml:space="preserve">) </w:t>
            </w:r>
            <w:r w:rsidR="00F61401">
              <w:rPr>
                <w:rFonts w:cs="Arial"/>
                <w:sz w:val="18"/>
                <w:szCs w:val="18"/>
              </w:rPr>
              <w:t>based on in-service reliability data / improved failure rates does</w:t>
            </w:r>
            <w:r w:rsidR="00F1740D">
              <w:rPr>
                <w:rFonts w:cs="Arial"/>
                <w:sz w:val="18"/>
                <w:szCs w:val="18"/>
              </w:rPr>
              <w:t xml:space="preserve"> not </w:t>
            </w:r>
            <w:r w:rsidR="00F61401">
              <w:rPr>
                <w:rFonts w:cs="Arial"/>
                <w:sz w:val="18"/>
                <w:szCs w:val="18"/>
              </w:rPr>
              <w:t xml:space="preserve">adversely </w:t>
            </w:r>
            <w:r w:rsidR="00F1740D">
              <w:rPr>
                <w:rFonts w:cs="Arial"/>
                <w:sz w:val="18"/>
                <w:szCs w:val="18"/>
              </w:rPr>
              <w:t xml:space="preserve">affect the </w:t>
            </w:r>
            <w:r w:rsidR="00F61401">
              <w:rPr>
                <w:rFonts w:cs="Arial"/>
                <w:sz w:val="18"/>
                <w:szCs w:val="18"/>
              </w:rPr>
              <w:t>level of safety</w:t>
            </w:r>
            <w:r w:rsidR="00F1740D">
              <w:rPr>
                <w:rFonts w:cs="Arial"/>
                <w:sz w:val="18"/>
                <w:szCs w:val="18"/>
              </w:rPr>
              <w:t xml:space="preserve">. </w:t>
            </w:r>
            <w:proofErr w:type="gramStart"/>
            <w:r w:rsidR="00593ED6">
              <w:rPr>
                <w:rFonts w:cs="Arial"/>
                <w:sz w:val="18"/>
                <w:szCs w:val="18"/>
              </w:rPr>
              <w:t>This criteria</w:t>
            </w:r>
            <w:proofErr w:type="gramEnd"/>
            <w:r w:rsidR="00593ED6">
              <w:rPr>
                <w:rFonts w:cs="Arial"/>
                <w:sz w:val="18"/>
                <w:szCs w:val="18"/>
              </w:rPr>
              <w:t xml:space="preserve"> will only be applicable to ALS Part 3.</w:t>
            </w:r>
          </w:p>
          <w:p w14:paraId="2FC6CFF7" w14:textId="375138E1" w:rsidR="00A9354D" w:rsidRDefault="00A9354D" w:rsidP="001C4D50">
            <w:pPr>
              <w:spacing w:before="120" w:after="120"/>
              <w:rPr>
                <w:rFonts w:cs="Arial"/>
                <w:sz w:val="18"/>
                <w:szCs w:val="18"/>
              </w:rPr>
            </w:pPr>
          </w:p>
          <w:p w14:paraId="27F7405D" w14:textId="536D09D9" w:rsidR="00A9354D" w:rsidRDefault="00A9354D" w:rsidP="001C4D50">
            <w:pPr>
              <w:spacing w:before="120" w:after="120"/>
              <w:rPr>
                <w:rFonts w:cs="Arial"/>
                <w:sz w:val="18"/>
                <w:szCs w:val="18"/>
              </w:rPr>
            </w:pPr>
            <w:r>
              <w:rPr>
                <w:rFonts w:cs="Arial"/>
                <w:sz w:val="18"/>
                <w:szCs w:val="18"/>
              </w:rPr>
              <w:t>The new text is as follows:</w:t>
            </w:r>
          </w:p>
          <w:p w14:paraId="29C7327F" w14:textId="48EFA339" w:rsidR="001C4D50" w:rsidRDefault="00A9354D" w:rsidP="00A9354D">
            <w:pPr>
              <w:spacing w:before="120" w:after="120"/>
              <w:rPr>
                <w:rFonts w:cs="Arial"/>
                <w:sz w:val="18"/>
                <w:szCs w:val="18"/>
              </w:rPr>
            </w:pPr>
            <w:r>
              <w:rPr>
                <w:color w:val="FF0000"/>
              </w:rPr>
              <w:t>“</w:t>
            </w:r>
            <w:r w:rsidRPr="00A9354D">
              <w:rPr>
                <w:color w:val="FF0000"/>
              </w:rPr>
              <w:t xml:space="preserve">Increase of interval resulting from change in safety analysis assumptions triggered by </w:t>
            </w:r>
            <w:r>
              <w:rPr>
                <w:color w:val="FF0000"/>
              </w:rPr>
              <w:t xml:space="preserve">in-service </w:t>
            </w:r>
            <w:r w:rsidRPr="00A9354D">
              <w:rPr>
                <w:color w:val="FF0000"/>
              </w:rPr>
              <w:t>reliability data / improved failure rates</w:t>
            </w:r>
            <w:r>
              <w:rPr>
                <w:color w:val="FF0000"/>
              </w:rPr>
              <w:t xml:space="preserve">. </w:t>
            </w:r>
            <w:r w:rsidRPr="00A9354D">
              <w:rPr>
                <w:color w:val="FF0000"/>
              </w:rPr>
              <w:t xml:space="preserve"> </w:t>
            </w:r>
            <w:r>
              <w:rPr>
                <w:color w:val="FF0000"/>
              </w:rPr>
              <w:t xml:space="preserve">The method for evaluating the in-service </w:t>
            </w:r>
            <w:r>
              <w:rPr>
                <w:color w:val="FF0000"/>
              </w:rPr>
              <w:lastRenderedPageBreak/>
              <w:t>experience should be agreed by EASA.”</w:t>
            </w:r>
          </w:p>
        </w:tc>
      </w:tr>
      <w:tr w:rsidR="00340B1F" w:rsidRPr="00FC6870" w14:paraId="42BC0D9C" w14:textId="77777777" w:rsidTr="00340B1F">
        <w:trPr>
          <w:cantSplit/>
        </w:trPr>
        <w:tc>
          <w:tcPr>
            <w:tcW w:w="183" w:type="pct"/>
            <w:tcBorders>
              <w:top w:val="single" w:sz="4" w:space="0" w:color="auto"/>
              <w:bottom w:val="single" w:sz="4" w:space="0" w:color="auto"/>
              <w:right w:val="single" w:sz="4" w:space="0" w:color="auto"/>
            </w:tcBorders>
          </w:tcPr>
          <w:p w14:paraId="75621D25" w14:textId="6166E5A9" w:rsidR="00340B1F" w:rsidRDefault="00340B1F" w:rsidP="00E31ED7">
            <w:pPr>
              <w:spacing w:before="120" w:after="120"/>
              <w:jc w:val="center"/>
              <w:rPr>
                <w:rFonts w:cs="Arial"/>
                <w:color w:val="000000"/>
                <w:sz w:val="18"/>
                <w:szCs w:val="18"/>
              </w:rPr>
            </w:pPr>
            <w:r>
              <w:rPr>
                <w:rFonts w:cs="Arial"/>
                <w:color w:val="000000"/>
                <w:sz w:val="18"/>
                <w:szCs w:val="18"/>
              </w:rPr>
              <w:lastRenderedPageBreak/>
              <w:t>6</w:t>
            </w:r>
          </w:p>
        </w:tc>
        <w:tc>
          <w:tcPr>
            <w:tcW w:w="445" w:type="pct"/>
            <w:tcBorders>
              <w:top w:val="single" w:sz="4" w:space="0" w:color="auto"/>
              <w:left w:val="single" w:sz="4" w:space="0" w:color="auto"/>
              <w:bottom w:val="single" w:sz="4" w:space="0" w:color="auto"/>
              <w:right w:val="single" w:sz="4" w:space="0" w:color="auto"/>
            </w:tcBorders>
          </w:tcPr>
          <w:p w14:paraId="3D6A5903" w14:textId="77777777" w:rsidR="00340B1F" w:rsidRDefault="00340B1F" w:rsidP="00E31ED7">
            <w:pPr>
              <w:spacing w:before="120" w:after="120"/>
              <w:rPr>
                <w:rFonts w:cs="Arial"/>
                <w:iCs/>
                <w:sz w:val="18"/>
                <w:szCs w:val="18"/>
              </w:rPr>
            </w:pPr>
            <w:r>
              <w:rPr>
                <w:rFonts w:cs="Arial"/>
                <w:iCs/>
                <w:sz w:val="18"/>
                <w:szCs w:val="18"/>
              </w:rPr>
              <w:t xml:space="preserve">CAA </w:t>
            </w:r>
          </w:p>
          <w:p w14:paraId="5004F865" w14:textId="33E58FB9" w:rsidR="00340B1F" w:rsidRPr="00E31ED7" w:rsidRDefault="00340B1F" w:rsidP="00E31ED7">
            <w:pPr>
              <w:spacing w:before="120" w:after="120"/>
              <w:rPr>
                <w:rFonts w:cs="Arial"/>
                <w:iCs/>
                <w:sz w:val="18"/>
                <w:szCs w:val="18"/>
              </w:rPr>
            </w:pPr>
            <w:r>
              <w:rPr>
                <w:rFonts w:cs="Arial"/>
                <w:iCs/>
                <w:sz w:val="18"/>
                <w:szCs w:val="18"/>
              </w:rPr>
              <w:t>Czech Republic</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9BA2084" w14:textId="3DE533FA" w:rsidR="00340B1F" w:rsidRDefault="00340B1F" w:rsidP="00E31ED7">
            <w:pPr>
              <w:spacing w:before="120" w:after="120"/>
              <w:jc w:val="center"/>
              <w:rPr>
                <w:rFonts w:cs="Arial"/>
                <w:sz w:val="18"/>
                <w:szCs w:val="18"/>
              </w:rPr>
            </w:pPr>
            <w:r>
              <w:rPr>
                <w:rFonts w:cs="Arial"/>
                <w:sz w:val="18"/>
                <w:szCs w:val="18"/>
              </w:rPr>
              <w:t>N/A</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47E6263" w14:textId="44C4D2F4" w:rsidR="00340B1F" w:rsidRDefault="00340B1F" w:rsidP="00E31ED7">
            <w:pPr>
              <w:spacing w:before="120" w:after="120"/>
              <w:jc w:val="center"/>
              <w:rPr>
                <w:rFonts w:cs="Arial"/>
                <w:sz w:val="18"/>
                <w:szCs w:val="18"/>
              </w:rPr>
            </w:pPr>
            <w:r>
              <w:rPr>
                <w:rFonts w:cs="Arial"/>
                <w:sz w:val="18"/>
                <w:szCs w:val="18"/>
              </w:rPr>
              <w:t>N/A</w:t>
            </w:r>
          </w:p>
        </w:tc>
        <w:tc>
          <w:tcPr>
            <w:tcW w:w="1218" w:type="pct"/>
            <w:tcBorders>
              <w:top w:val="single" w:sz="4" w:space="0" w:color="auto"/>
              <w:left w:val="single" w:sz="4" w:space="0" w:color="auto"/>
              <w:bottom w:val="single" w:sz="4" w:space="0" w:color="auto"/>
              <w:right w:val="single" w:sz="4" w:space="0" w:color="auto"/>
            </w:tcBorders>
          </w:tcPr>
          <w:p w14:paraId="4DDDC39D" w14:textId="77777777" w:rsidR="00340B1F" w:rsidRDefault="00340B1F" w:rsidP="00340B1F">
            <w:pPr>
              <w:rPr>
                <w:sz w:val="18"/>
                <w:szCs w:val="18"/>
              </w:rPr>
            </w:pPr>
          </w:p>
          <w:p w14:paraId="0DAC65DF" w14:textId="77777777" w:rsidR="00C23445" w:rsidRDefault="00340B1F" w:rsidP="00C23445">
            <w:pPr>
              <w:rPr>
                <w:sz w:val="18"/>
                <w:szCs w:val="18"/>
              </w:rPr>
            </w:pPr>
            <w:r>
              <w:rPr>
                <w:sz w:val="18"/>
                <w:szCs w:val="18"/>
              </w:rPr>
              <w:t xml:space="preserve">Without rejecting the principle of having minor ALS changes, the commentor is highlighting the </w:t>
            </w:r>
            <w:r w:rsidR="00C23445">
              <w:rPr>
                <w:sz w:val="18"/>
                <w:szCs w:val="18"/>
              </w:rPr>
              <w:t xml:space="preserve">concerns and </w:t>
            </w:r>
            <w:proofErr w:type="spellStart"/>
            <w:r w:rsidR="00C23445">
              <w:rPr>
                <w:sz w:val="18"/>
                <w:szCs w:val="18"/>
              </w:rPr>
              <w:t>precoutions</w:t>
            </w:r>
            <w:proofErr w:type="spellEnd"/>
            <w:r w:rsidR="00C23445">
              <w:rPr>
                <w:sz w:val="18"/>
                <w:szCs w:val="18"/>
              </w:rPr>
              <w:t xml:space="preserve"> needed in the implementation. </w:t>
            </w:r>
            <w:proofErr w:type="gramStart"/>
            <w:r w:rsidR="00C23445">
              <w:rPr>
                <w:sz w:val="18"/>
                <w:szCs w:val="18"/>
              </w:rPr>
              <w:t>Also</w:t>
            </w:r>
            <w:proofErr w:type="gramEnd"/>
            <w:r w:rsidR="00C23445">
              <w:rPr>
                <w:sz w:val="18"/>
                <w:szCs w:val="18"/>
              </w:rPr>
              <w:t xml:space="preserve"> some </w:t>
            </w:r>
            <w:proofErr w:type="spellStart"/>
            <w:r w:rsidR="00C23445">
              <w:rPr>
                <w:sz w:val="18"/>
                <w:szCs w:val="18"/>
              </w:rPr>
              <w:t>neclarities</w:t>
            </w:r>
            <w:proofErr w:type="spellEnd"/>
            <w:r w:rsidR="00C23445">
              <w:rPr>
                <w:sz w:val="18"/>
                <w:szCs w:val="18"/>
              </w:rPr>
              <w:t xml:space="preserve"> in the criteria applicability to structures or systems are mentioned as well.</w:t>
            </w:r>
          </w:p>
          <w:bookmarkStart w:id="0" w:name="_MON_1590931796"/>
          <w:bookmarkEnd w:id="0"/>
          <w:p w14:paraId="1F91422A" w14:textId="29CCDC14" w:rsidR="00340B1F" w:rsidRPr="00340B1F" w:rsidRDefault="00C23445" w:rsidP="00C23445">
            <w:pPr>
              <w:rPr>
                <w:sz w:val="18"/>
                <w:szCs w:val="18"/>
              </w:rPr>
            </w:pPr>
            <w:r>
              <w:rPr>
                <w:sz w:val="18"/>
                <w:szCs w:val="18"/>
              </w:rPr>
              <w:object w:dxaOrig="1540" w:dyaOrig="997" w14:anchorId="4B8E1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748070017" r:id="rId12">
                  <o:FieldCodes>\s</o:FieldCodes>
                </o:OLEObject>
              </w:object>
            </w:r>
            <w:r>
              <w:rPr>
                <w:sz w:val="18"/>
                <w:szCs w:val="18"/>
              </w:rPr>
              <w:t xml:space="preserve"> </w:t>
            </w:r>
          </w:p>
        </w:tc>
        <w:tc>
          <w:tcPr>
            <w:tcW w:w="497" w:type="pct"/>
            <w:tcBorders>
              <w:top w:val="single" w:sz="4" w:space="0" w:color="auto"/>
              <w:left w:val="single" w:sz="4" w:space="0" w:color="auto"/>
              <w:bottom w:val="single" w:sz="4" w:space="0" w:color="auto"/>
              <w:right w:val="single" w:sz="4" w:space="0" w:color="auto"/>
            </w:tcBorders>
          </w:tcPr>
          <w:p w14:paraId="22A402B3" w14:textId="77777777" w:rsidR="00340B1F" w:rsidRPr="00FC6870" w:rsidRDefault="00340B1F" w:rsidP="00E31ED7">
            <w:pPr>
              <w:spacing w:before="120" w:after="120"/>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tcPr>
          <w:p w14:paraId="090864C6" w14:textId="77777777" w:rsidR="00340B1F" w:rsidRPr="00FC6870" w:rsidRDefault="00340B1F" w:rsidP="00E31ED7">
            <w:pPr>
              <w:spacing w:before="120" w:after="120"/>
              <w:jc w:val="center"/>
              <w:rPr>
                <w:rFonts w:cs="Arial"/>
                <w:sz w:val="18"/>
                <w:szCs w:val="18"/>
              </w:rPr>
            </w:pPr>
          </w:p>
        </w:tc>
        <w:tc>
          <w:tcPr>
            <w:tcW w:w="378" w:type="pct"/>
            <w:tcBorders>
              <w:top w:val="single" w:sz="4" w:space="0" w:color="auto"/>
              <w:left w:val="single" w:sz="4" w:space="0" w:color="auto"/>
              <w:bottom w:val="single" w:sz="4" w:space="0" w:color="auto"/>
              <w:right w:val="single" w:sz="12" w:space="0" w:color="auto"/>
            </w:tcBorders>
          </w:tcPr>
          <w:p w14:paraId="220EA7F2" w14:textId="77777777" w:rsidR="00340B1F" w:rsidRPr="00FC6870" w:rsidRDefault="00340B1F" w:rsidP="00E31ED7">
            <w:pPr>
              <w:spacing w:before="120" w:after="120"/>
              <w:jc w:val="center"/>
              <w:rPr>
                <w:rFonts w:cs="Arial"/>
                <w:sz w:val="18"/>
                <w:szCs w:val="18"/>
              </w:rPr>
            </w:pPr>
          </w:p>
        </w:tc>
        <w:tc>
          <w:tcPr>
            <w:tcW w:w="303" w:type="pct"/>
            <w:tcBorders>
              <w:top w:val="single" w:sz="4" w:space="0" w:color="auto"/>
              <w:left w:val="single" w:sz="12" w:space="0" w:color="auto"/>
              <w:bottom w:val="single" w:sz="4" w:space="0" w:color="auto"/>
              <w:right w:val="single" w:sz="4" w:space="0" w:color="auto"/>
            </w:tcBorders>
            <w:shd w:val="clear" w:color="auto" w:fill="E6E6E6"/>
          </w:tcPr>
          <w:p w14:paraId="274DA23E" w14:textId="518BBEEC" w:rsidR="00340B1F" w:rsidRPr="00C23445" w:rsidRDefault="00C23445" w:rsidP="00E31ED7">
            <w:pPr>
              <w:spacing w:before="120" w:after="120"/>
              <w:jc w:val="center"/>
              <w:rPr>
                <w:rFonts w:cs="Arial"/>
                <w:b/>
                <w:color w:val="FF0000"/>
                <w:sz w:val="18"/>
                <w:szCs w:val="18"/>
              </w:rPr>
            </w:pPr>
            <w:r w:rsidRPr="00C23445">
              <w:rPr>
                <w:rFonts w:cs="Arial"/>
                <w:b/>
                <w:sz w:val="18"/>
                <w:szCs w:val="18"/>
              </w:rPr>
              <w:t>Noted</w:t>
            </w:r>
          </w:p>
        </w:tc>
        <w:tc>
          <w:tcPr>
            <w:tcW w:w="845" w:type="pct"/>
            <w:tcBorders>
              <w:top w:val="single" w:sz="4" w:space="0" w:color="auto"/>
              <w:left w:val="single" w:sz="4" w:space="0" w:color="auto"/>
              <w:bottom w:val="single" w:sz="4" w:space="0" w:color="auto"/>
            </w:tcBorders>
            <w:shd w:val="clear" w:color="auto" w:fill="E6E6E6"/>
          </w:tcPr>
          <w:p w14:paraId="103CCAC2" w14:textId="77777777" w:rsidR="00340B1F" w:rsidRDefault="00C23445" w:rsidP="00C23445">
            <w:pPr>
              <w:spacing w:before="120" w:after="120"/>
              <w:rPr>
                <w:rFonts w:cs="Arial"/>
                <w:sz w:val="18"/>
                <w:szCs w:val="18"/>
              </w:rPr>
            </w:pPr>
            <w:proofErr w:type="gramStart"/>
            <w:r>
              <w:rPr>
                <w:rFonts w:cs="Arial"/>
                <w:sz w:val="18"/>
                <w:szCs w:val="18"/>
              </w:rPr>
              <w:t>Indeed</w:t>
            </w:r>
            <w:proofErr w:type="gramEnd"/>
            <w:r>
              <w:rPr>
                <w:rFonts w:cs="Arial"/>
                <w:sz w:val="18"/>
                <w:szCs w:val="18"/>
              </w:rPr>
              <w:t xml:space="preserve"> the presented examples of minor ALS changes are referring to either structures parts, ALS Part 1 &amp; 2, or system, ALS Part 3 &amp; 4 respectively.</w:t>
            </w:r>
          </w:p>
          <w:p w14:paraId="528422D9" w14:textId="77777777" w:rsidR="00C23445" w:rsidRDefault="00C23445" w:rsidP="00C23445">
            <w:pPr>
              <w:spacing w:before="120" w:after="120"/>
              <w:rPr>
                <w:rFonts w:cs="Verdana"/>
                <w:sz w:val="18"/>
                <w:szCs w:val="18"/>
                <w:lang w:eastAsia="de-CH"/>
              </w:rPr>
            </w:pPr>
            <w:r>
              <w:rPr>
                <w:rFonts w:cs="Arial"/>
                <w:sz w:val="18"/>
                <w:szCs w:val="18"/>
              </w:rPr>
              <w:t xml:space="preserve">The extension of a DOA </w:t>
            </w:r>
            <w:proofErr w:type="spellStart"/>
            <w:r>
              <w:rPr>
                <w:rFonts w:cs="Arial"/>
                <w:sz w:val="18"/>
                <w:szCs w:val="18"/>
              </w:rPr>
              <w:t>pribileges</w:t>
            </w:r>
            <w:proofErr w:type="spellEnd"/>
            <w:r>
              <w:rPr>
                <w:rFonts w:cs="Arial"/>
                <w:sz w:val="18"/>
                <w:szCs w:val="18"/>
              </w:rPr>
              <w:t xml:space="preserve"> </w:t>
            </w:r>
            <w:r>
              <w:rPr>
                <w:rFonts w:cs="Verdana"/>
                <w:sz w:val="18"/>
                <w:szCs w:val="18"/>
                <w:lang w:eastAsia="de-CH"/>
              </w:rPr>
              <w:t>to classify and approve minor ALS changes shall be subject of an application for Significant Change to the Design Assurance System. Part of the investigation of this Significant Change the Agency will check the capability of the DOA to manage these changes.</w:t>
            </w:r>
          </w:p>
          <w:p w14:paraId="6855E842" w14:textId="4E92EFE9" w:rsidR="00C23445" w:rsidRDefault="00C23445" w:rsidP="00C23445">
            <w:pPr>
              <w:spacing w:before="120" w:after="120"/>
              <w:rPr>
                <w:rFonts w:cs="Arial"/>
                <w:sz w:val="18"/>
                <w:szCs w:val="18"/>
              </w:rPr>
            </w:pPr>
            <w:r>
              <w:rPr>
                <w:rFonts w:cs="Verdana"/>
                <w:sz w:val="18"/>
                <w:szCs w:val="18"/>
                <w:lang w:eastAsia="de-CH"/>
              </w:rPr>
              <w:t xml:space="preserve">EASA experts are routinely part of DOA audits.   </w:t>
            </w:r>
          </w:p>
        </w:tc>
      </w:tr>
    </w:tbl>
    <w:p w14:paraId="631B9D1F" w14:textId="77777777" w:rsidR="005763B8" w:rsidRPr="00341D29" w:rsidRDefault="005763B8" w:rsidP="005763B8">
      <w:pPr>
        <w:ind w:firstLine="720"/>
        <w:rPr>
          <w:rFonts w:asciiTheme="minorHAnsi" w:hAnsiTheme="minorHAnsi"/>
          <w:sz w:val="18"/>
          <w:szCs w:val="18"/>
        </w:rPr>
      </w:pPr>
      <w:r w:rsidRPr="00341D29">
        <w:rPr>
          <w:rFonts w:asciiTheme="minorHAnsi" w:hAnsiTheme="minorHAnsi"/>
          <w:sz w:val="18"/>
          <w:szCs w:val="18"/>
        </w:rPr>
        <w:t>* Please complete this column using the word “yes” or “no”</w:t>
      </w:r>
    </w:p>
    <w:p w14:paraId="631B9D20" w14:textId="77777777" w:rsidR="005763B8" w:rsidRPr="00341D29" w:rsidRDefault="005763B8" w:rsidP="005763B8">
      <w:pPr>
        <w:ind w:firstLine="720"/>
        <w:rPr>
          <w:rFonts w:asciiTheme="minorHAnsi" w:hAnsiTheme="minorHAnsi"/>
          <w:sz w:val="18"/>
          <w:szCs w:val="18"/>
        </w:rPr>
      </w:pPr>
      <w:r w:rsidRPr="00341D29">
        <w:rPr>
          <w:rFonts w:asciiTheme="minorHAnsi" w:hAnsiTheme="minorHAnsi"/>
          <w:sz w:val="18"/>
          <w:szCs w:val="18"/>
        </w:rPr>
        <w:t>** Please complete this column using the word “yes” or “no”</w:t>
      </w:r>
    </w:p>
    <w:p w14:paraId="631B9D21" w14:textId="77777777" w:rsidR="005763B8" w:rsidRPr="002D1928" w:rsidRDefault="005763B8" w:rsidP="005763B8">
      <w:pPr>
        <w:rPr>
          <w:szCs w:val="20"/>
        </w:rPr>
      </w:pPr>
    </w:p>
    <w:sectPr w:rsidR="005763B8" w:rsidRPr="002D1928" w:rsidSect="00FE7472">
      <w:headerReference w:type="default" r:id="rId13"/>
      <w:footerReference w:type="default" r:id="rId14"/>
      <w:pgSz w:w="16838" w:h="11906" w:orient="landscape"/>
      <w:pgMar w:top="1134" w:right="2778" w:bottom="1134" w:left="902" w:header="709" w:footer="493"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1" wne:kcmSecondary="0063">
      <wne:acd wne:acdName="acd4"/>
    </wne:keymap>
    <wne:keymap wne:kcmPrimary="1831">
      <wne:acd wne:acdName="acd2"/>
    </wne:keymap>
    <wne:keymap wne:kcmPrimary="1832">
      <wne:acd wne:acdName="acd3"/>
    </wne:keymap>
    <wne:keymap wne:kcmPrimary="1833">
      <wne:acd wne:acdName="acd4"/>
    </wne:keymap>
    <wne:keymap wne:kcmPrimary="1841">
      <wne:acd wne:acdName="acd6"/>
    </wne:keymap>
    <wne:keymap wne:kcmPrimary="1842">
      <wne:acd wne:acdName="acd5"/>
    </wne:keymap>
    <wne:keymap wne:kcmPrimary="1861">
      <wne:acd wne:acdName="acd2"/>
    </wne:keymap>
    <wne:keymap wne:kcmPrimary="186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cdName="acd0" wne:fciIndexBasedOn="0065"/>
    <wne:acd wne:acdName="acd1" wne:fciIndexBasedOn="0065"/>
    <wne:acd wne:argValue="AQAAAAEA" wne:acdName="acd2" wne:fciIndexBasedOn="0065"/>
    <wne:acd wne:argValue="AQAAAAIA" wne:acdName="acd3" wne:fciIndexBasedOn="0065"/>
    <wne:acd wne:argValue="AQAAAAMA" wne:acdName="acd4" wne:fciIndexBasedOn="0065"/>
    <wne:acd wne:argValue="AgBCAHUAbABsAGUAdAAgAFAAbwBpAG4AdAAgADIAIAAoAFMAdQBiACAAQgB1AGwAbABlAHQAKQA=" wne:acdName="acd5" wne:fciIndexBasedOn="0065"/>
    <wne:acd wne:argValue="AgBCAHUAbABsAGUAdAAgAFAAbwBuAHQAIAAx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D7B4" w14:textId="77777777" w:rsidR="00827A9A" w:rsidRDefault="00827A9A">
      <w:r>
        <w:separator/>
      </w:r>
    </w:p>
    <w:p w14:paraId="222EC82B" w14:textId="77777777" w:rsidR="00827A9A" w:rsidRDefault="00827A9A"/>
  </w:endnote>
  <w:endnote w:type="continuationSeparator" w:id="0">
    <w:p w14:paraId="63DA07BD" w14:textId="77777777" w:rsidR="00827A9A" w:rsidRDefault="00827A9A">
      <w:r>
        <w:continuationSeparator/>
      </w:r>
    </w:p>
    <w:p w14:paraId="3E67D3D3" w14:textId="77777777" w:rsidR="00827A9A" w:rsidRDefault="00827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9D38" w14:textId="77777777" w:rsidR="00340B1F" w:rsidRPr="00F5424B" w:rsidRDefault="00340B1F" w:rsidP="00E11F1E">
    <w:pPr>
      <w:tabs>
        <w:tab w:val="left" w:pos="1276"/>
      </w:tabs>
      <w:spacing w:after="60"/>
      <w:rPr>
        <w:rFonts w:asciiTheme="minorHAnsi" w:hAnsiTheme="minorHAnsi" w:cs="Verdana"/>
        <w:color w:val="000000"/>
        <w:sz w:val="18"/>
        <w:szCs w:val="18"/>
      </w:rPr>
    </w:pPr>
    <w:r>
      <w:rPr>
        <w:noProof/>
        <w:lang w:val="en-US" w:eastAsia="en-US"/>
      </w:rPr>
      <mc:AlternateContent>
        <mc:Choice Requires="wps">
          <w:drawing>
            <wp:anchor distT="0" distB="0" distL="114300" distR="114300" simplePos="0" relativeHeight="251662336" behindDoc="0" locked="0" layoutInCell="1" allowOverlap="1" wp14:anchorId="631B9D3E" wp14:editId="631B9D3F">
              <wp:simplePos x="0" y="0"/>
              <wp:positionH relativeFrom="page">
                <wp:posOffset>6626860</wp:posOffset>
              </wp:positionH>
              <wp:positionV relativeFrom="page">
                <wp:posOffset>9759950</wp:posOffset>
              </wp:positionV>
              <wp:extent cx="818515" cy="246380"/>
              <wp:effectExtent l="0" t="0" r="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B9D44" w14:textId="77777777" w:rsidR="00340B1F" w:rsidRPr="00F00315" w:rsidRDefault="00340B1F" w:rsidP="00E11F1E">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sidR="003A773D">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sidR="003A773D">
                            <w:rPr>
                              <w:rFonts w:asciiTheme="majorHAnsi" w:hAnsiTheme="majorHAnsi" w:cs="Verdana"/>
                              <w:noProof/>
                              <w:color w:val="000000"/>
                              <w:sz w:val="18"/>
                              <w:szCs w:val="18"/>
                            </w:rPr>
                            <w:t>6</w:t>
                          </w:r>
                          <w:r w:rsidRPr="00F00315">
                            <w:rPr>
                              <w:rFonts w:asciiTheme="majorHAnsi" w:hAnsiTheme="maj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9D3E" id="_x0000_t202" coordsize="21600,21600" o:spt="202" path="m,l,21600r21600,l21600,xe">
              <v:stroke joinstyle="miter"/>
              <v:path gradientshapeok="t" o:connecttype="rect"/>
            </v:shapetype>
            <v:shape id="Text Box 4" o:spid="_x0000_s1026" type="#_x0000_t202" style="position:absolute;margin-left:521.8pt;margin-top:768.5pt;width:64.45pt;height:1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" filled="f" stroked="f" strokeweight=".5pt">
              <v:textbox>
                <w:txbxContent>
                  <w:p w14:paraId="631B9D44" w14:textId="77777777" w:rsidR="00340B1F" w:rsidRPr="00F00315" w:rsidRDefault="00340B1F" w:rsidP="00E11F1E">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sidR="003A773D">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sidR="003A773D">
                      <w:rPr>
                        <w:rFonts w:asciiTheme="majorHAnsi" w:hAnsiTheme="majorHAnsi" w:cs="Verdana"/>
                        <w:noProof/>
                        <w:color w:val="000000"/>
                        <w:sz w:val="18"/>
                        <w:szCs w:val="18"/>
                      </w:rPr>
                      <w:t>6</w:t>
                    </w:r>
                    <w:r w:rsidRPr="00F00315">
                      <w:rPr>
                        <w:rFonts w:asciiTheme="majorHAnsi" w:hAnsiTheme="majorHAnsi" w:cs="Verdana"/>
                        <w:color w:val="000000"/>
                        <w:sz w:val="18"/>
                        <w:szCs w:val="18"/>
                      </w:rPr>
                      <w:fldChar w:fldCharType="end"/>
                    </w:r>
                  </w:p>
                </w:txbxContent>
              </v:textbox>
              <w10:wrap anchorx="page" anchory="page"/>
            </v:shape>
          </w:pict>
        </mc:Fallback>
      </mc:AlternateContent>
    </w:r>
    <w:r w:rsidRPr="00F5424B">
      <w:rPr>
        <w:rFonts w:asciiTheme="minorHAnsi" w:hAnsiTheme="minorHAnsi" w:cs="Verdana"/>
        <w:noProof/>
        <w:color w:val="000000"/>
        <w:sz w:val="18"/>
        <w:szCs w:val="18"/>
        <w:lang w:val="en-US" w:eastAsia="en-US"/>
      </w:rPr>
      <w:drawing>
        <wp:anchor distT="0" distB="0" distL="114300" distR="114300" simplePos="0" relativeHeight="251661312" behindDoc="0" locked="0" layoutInCell="1" allowOverlap="1" wp14:anchorId="631B9D40" wp14:editId="631B9D41">
          <wp:simplePos x="0" y="0"/>
          <wp:positionH relativeFrom="column">
            <wp:posOffset>-267970</wp:posOffset>
          </wp:positionH>
          <wp:positionV relativeFrom="paragraph">
            <wp:posOffset>102235</wp:posOffset>
          </wp:positionV>
          <wp:extent cx="495300" cy="330200"/>
          <wp:effectExtent l="19050" t="19050" r="19050" b="12700"/>
          <wp:wrapNone/>
          <wp:docPr id="21" name="Picture 21"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1.jpg"/>
                  <pic:cNvPicPr/>
                </pic:nvPicPr>
                <pic:blipFill>
                  <a:blip r:embed="rId1"/>
                  <a:stretch>
                    <a:fillRect/>
                  </a:stretch>
                </pic:blipFill>
                <pic:spPr>
                  <a:xfrm>
                    <a:off x="0" y="0"/>
                    <a:ext cx="495300" cy="330200"/>
                  </a:xfrm>
                  <a:prstGeom prst="rect">
                    <a:avLst/>
                  </a:prstGeom>
                  <a:ln>
                    <a:solidFill>
                      <a:schemeClr val="tx1">
                        <a:lumMod val="100000"/>
                        <a:lumOff val="0"/>
                      </a:schemeClr>
                    </a:solidFill>
                  </a:ln>
                </pic:spPr>
              </pic:pic>
            </a:graphicData>
          </a:graphic>
        </wp:anchor>
      </w:drawing>
    </w:r>
    <w:r w:rsidRPr="00F5424B">
      <w:rPr>
        <w:rFonts w:asciiTheme="minorHAnsi" w:hAnsiTheme="minorHAnsi" w:cs="Verdana"/>
        <w:color w:val="000000"/>
        <w:sz w:val="18"/>
        <w:szCs w:val="18"/>
      </w:rPr>
      <w:tab/>
    </w:r>
  </w:p>
  <w:p w14:paraId="631B9D39" w14:textId="4E04ECA4" w:rsidR="00340B1F" w:rsidRPr="00F00315" w:rsidRDefault="00340B1F" w:rsidP="00E11F1E">
    <w:pPr>
      <w:tabs>
        <w:tab w:val="left" w:pos="1276"/>
      </w:tabs>
      <w:rPr>
        <w:rFonts w:asciiTheme="majorHAnsi" w:hAnsiTheme="majorHAnsi" w:cs="Verdana"/>
        <w:color w:val="000000"/>
        <w:sz w:val="18"/>
        <w:szCs w:val="18"/>
      </w:rPr>
    </w:pPr>
    <w:r>
      <w:rPr>
        <w:rFonts w:asciiTheme="majorHAnsi" w:hAnsiTheme="majorHAnsi" w:cs="Verdana"/>
        <w:color w:val="000000"/>
        <w:sz w:val="18"/>
        <w:szCs w:val="18"/>
      </w:rPr>
      <w:t xml:space="preserve">                           </w:t>
    </w:r>
    <w:r w:rsidRPr="00666BDB">
      <w:rPr>
        <w:rFonts w:asciiTheme="majorHAnsi" w:hAnsiTheme="majorHAnsi" w:cs="Verdana"/>
        <w:color w:val="000000"/>
        <w:sz w:val="18"/>
        <w:szCs w:val="18"/>
      </w:rPr>
      <w:t>TE.DOA.0085</w:t>
    </w:r>
    <w:r>
      <w:rPr>
        <w:rFonts w:asciiTheme="majorHAnsi" w:hAnsiTheme="majorHAnsi" w:cs="Verdana"/>
        <w:color w:val="000000"/>
        <w:sz w:val="18"/>
        <w:szCs w:val="18"/>
      </w:rPr>
      <w:t>8</w:t>
    </w:r>
    <w:r w:rsidRPr="00E9161D">
      <w:rPr>
        <w:rFonts w:asciiTheme="majorHAnsi" w:hAnsiTheme="majorHAnsi" w:cs="Verdana"/>
        <w:color w:val="000000"/>
        <w:sz w:val="18"/>
        <w:szCs w:val="18"/>
      </w:rPr>
      <w:t>-00</w:t>
    </w:r>
    <w:r>
      <w:rPr>
        <w:rFonts w:asciiTheme="majorHAnsi" w:hAnsiTheme="majorHAnsi" w:cs="Verdana"/>
        <w:color w:val="000000"/>
        <w:sz w:val="18"/>
        <w:szCs w:val="18"/>
      </w:rPr>
      <w:t>1</w:t>
    </w:r>
    <w:r w:rsidRPr="000E0C27">
      <w:rPr>
        <w:rFonts w:asciiTheme="majorHAnsi" w:hAnsiTheme="majorHAnsi" w:cs="Verdana"/>
        <w:color w:val="000000"/>
        <w:sz w:val="18"/>
        <w:szCs w:val="18"/>
      </w:rPr>
      <w:t xml:space="preserve"> </w:t>
    </w:r>
    <w:r w:rsidRPr="00F00315">
      <w:rPr>
        <w:rFonts w:asciiTheme="majorHAnsi" w:hAnsiTheme="majorHAnsi" w:cs="Verdana"/>
        <w:color w:val="000000"/>
        <w:sz w:val="18"/>
        <w:szCs w:val="18"/>
      </w:rPr>
      <w:t>© European Aviation Safety Agency. All rights reserved. ISO9001 Certified.</w:t>
    </w:r>
    <w:r w:rsidR="00660AF5">
      <w:rPr>
        <w:rFonts w:asciiTheme="majorHAnsi" w:hAnsiTheme="majorHAnsi" w:cs="Verdana"/>
        <w:color w:val="000000"/>
        <w:sz w:val="18"/>
        <w:szCs w:val="18"/>
      </w:rPr>
      <w:tab/>
    </w:r>
    <w:r w:rsidR="00660AF5">
      <w:rPr>
        <w:rFonts w:asciiTheme="majorHAnsi" w:hAnsiTheme="majorHAnsi" w:cs="Verdana"/>
        <w:color w:val="000000"/>
        <w:sz w:val="18"/>
        <w:szCs w:val="18"/>
      </w:rPr>
      <w:tab/>
    </w:r>
    <w:r w:rsidR="00660AF5">
      <w:rPr>
        <w:rFonts w:asciiTheme="majorHAnsi" w:hAnsiTheme="majorHAnsi" w:cs="Verdana"/>
        <w:color w:val="000000"/>
        <w:sz w:val="18"/>
        <w:szCs w:val="18"/>
      </w:rPr>
      <w:tab/>
    </w:r>
    <w:r w:rsidR="00660AF5">
      <w:rPr>
        <w:rFonts w:asciiTheme="majorHAnsi" w:hAnsiTheme="majorHAnsi" w:cs="Verdana"/>
        <w:color w:val="000000"/>
        <w:sz w:val="18"/>
        <w:szCs w:val="18"/>
      </w:rPr>
      <w:tab/>
    </w:r>
    <w:r w:rsidR="00660AF5">
      <w:rPr>
        <w:rFonts w:asciiTheme="majorHAnsi" w:hAnsiTheme="majorHAnsi" w:cs="Verdana"/>
        <w:color w:val="000000"/>
        <w:sz w:val="18"/>
        <w:szCs w:val="18"/>
      </w:rPr>
      <w:tab/>
    </w:r>
    <w:r w:rsidR="00660AF5">
      <w:rPr>
        <w:rFonts w:asciiTheme="majorHAnsi" w:hAnsiTheme="majorHAnsi" w:cs="Verdana"/>
        <w:color w:val="000000"/>
        <w:sz w:val="18"/>
        <w:szCs w:val="18"/>
      </w:rPr>
      <w:tab/>
    </w:r>
    <w:r w:rsidR="00660AF5" w:rsidRPr="00660AF5">
      <w:rPr>
        <w:rFonts w:asciiTheme="majorHAnsi" w:hAnsiTheme="majorHAnsi" w:cs="Verdana"/>
        <w:color w:val="000000"/>
        <w:sz w:val="18"/>
        <w:szCs w:val="18"/>
      </w:rPr>
      <w:fldChar w:fldCharType="begin"/>
    </w:r>
    <w:r w:rsidR="00660AF5" w:rsidRPr="00660AF5">
      <w:rPr>
        <w:rFonts w:asciiTheme="majorHAnsi" w:hAnsiTheme="majorHAnsi" w:cs="Verdana"/>
        <w:color w:val="000000"/>
        <w:sz w:val="18"/>
        <w:szCs w:val="18"/>
      </w:rPr>
      <w:instrText xml:space="preserve"> PAGE   \* MERGEFORMAT </w:instrText>
    </w:r>
    <w:r w:rsidR="00660AF5" w:rsidRPr="00660AF5">
      <w:rPr>
        <w:rFonts w:asciiTheme="majorHAnsi" w:hAnsiTheme="majorHAnsi" w:cs="Verdana"/>
        <w:color w:val="000000"/>
        <w:sz w:val="18"/>
        <w:szCs w:val="18"/>
      </w:rPr>
      <w:fldChar w:fldCharType="separate"/>
    </w:r>
    <w:r w:rsidR="003A773D">
      <w:rPr>
        <w:rFonts w:asciiTheme="majorHAnsi" w:hAnsiTheme="majorHAnsi" w:cs="Verdana"/>
        <w:noProof/>
        <w:color w:val="000000"/>
        <w:sz w:val="18"/>
        <w:szCs w:val="18"/>
      </w:rPr>
      <w:t>1</w:t>
    </w:r>
    <w:r w:rsidR="00660AF5" w:rsidRPr="00660AF5">
      <w:rPr>
        <w:rFonts w:asciiTheme="majorHAnsi" w:hAnsiTheme="majorHAnsi" w:cs="Verdana"/>
        <w:noProof/>
        <w:color w:val="000000"/>
        <w:sz w:val="18"/>
        <w:szCs w:val="18"/>
      </w:rPr>
      <w:fldChar w:fldCharType="end"/>
    </w:r>
    <w:r w:rsidR="00660AF5">
      <w:rPr>
        <w:rFonts w:asciiTheme="majorHAnsi" w:hAnsiTheme="majorHAnsi" w:cs="Verdana"/>
        <w:noProof/>
        <w:color w:val="000000"/>
        <w:sz w:val="18"/>
        <w:szCs w:val="18"/>
      </w:rPr>
      <w:t>/6</w:t>
    </w:r>
  </w:p>
  <w:p w14:paraId="631B9D3A" w14:textId="0033381C" w:rsidR="00340B1F" w:rsidRPr="00A84FC6" w:rsidRDefault="00340B1F" w:rsidP="00E11F1E">
    <w:pPr>
      <w:pStyle w:val="Footer"/>
      <w:tabs>
        <w:tab w:val="left" w:pos="1276"/>
      </w:tabs>
      <w:spacing w:line="360" w:lineRule="auto"/>
      <w:rPr>
        <w:rFonts w:asciiTheme="majorHAnsi" w:hAnsiTheme="majorHAnsi"/>
        <w:sz w:val="18"/>
        <w:szCs w:val="18"/>
      </w:rPr>
    </w:pPr>
    <w:r w:rsidRPr="00F00315">
      <w:rPr>
        <w:rFonts w:asciiTheme="majorHAnsi" w:hAnsiTheme="majorHAnsi"/>
        <w:noProof/>
        <w:lang w:val="en-US" w:eastAsia="en-US"/>
      </w:rPr>
      <mc:AlternateContent>
        <mc:Choice Requires="wps">
          <w:drawing>
            <wp:anchor distT="0" distB="0" distL="114300" distR="114300" simplePos="0" relativeHeight="251660288" behindDoc="0" locked="0" layoutInCell="1" allowOverlap="1" wp14:anchorId="631B9D42" wp14:editId="631B9D43">
              <wp:simplePos x="0" y="0"/>
              <wp:positionH relativeFrom="column">
                <wp:posOffset>-273050</wp:posOffset>
              </wp:positionH>
              <wp:positionV relativeFrom="paragraph">
                <wp:posOffset>156845</wp:posOffset>
              </wp:positionV>
              <wp:extent cx="1695450" cy="171450"/>
              <wp:effectExtent l="0" t="0" r="0" b="0"/>
              <wp:wrapTight wrapText="bothSides">
                <wp:wrapPolygon edited="0">
                  <wp:start x="0" y="0"/>
                  <wp:lineTo x="0" y="19200"/>
                  <wp:lineTo x="21357" y="19200"/>
                  <wp:lineTo x="21357" y="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9D45" w14:textId="77777777" w:rsidR="00340B1F" w:rsidRPr="00F00315" w:rsidRDefault="00340B1F" w:rsidP="00E11F1E">
                          <w:pPr>
                            <w:pStyle w:val="Header"/>
                            <w:rPr>
                              <w:rFonts w:asciiTheme="majorHAnsi" w:hAnsiTheme="majorHAnsi"/>
                              <w:sz w:val="10"/>
                              <w:szCs w:val="10"/>
                            </w:rPr>
                          </w:pPr>
                          <w:r w:rsidRPr="00F00315">
                            <w:rPr>
                              <w:rFonts w:asciiTheme="majorHAnsi" w:hAnsiTheme="majorHAnsi"/>
                              <w:sz w:val="10"/>
                              <w:szCs w:val="10"/>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9D42" id="Text Box 17" o:spid="_x0000_s1027" type="#_x0000_t202" style="position:absolute;margin-left:-21.5pt;margin-top:12.35pt;width:13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" filled="f" stroked="f">
              <v:textbox inset="0,0,0,0">
                <w:txbxContent>
                  <w:p w14:paraId="631B9D45" w14:textId="77777777" w:rsidR="00340B1F" w:rsidRPr="00F00315" w:rsidRDefault="00340B1F" w:rsidP="00E11F1E">
                    <w:pPr>
                      <w:pStyle w:val="Header"/>
                      <w:rPr>
                        <w:rFonts w:asciiTheme="majorHAnsi" w:hAnsiTheme="majorHAnsi"/>
                        <w:sz w:val="10"/>
                        <w:szCs w:val="10"/>
                      </w:rPr>
                    </w:pPr>
                    <w:r w:rsidRPr="00F00315">
                      <w:rPr>
                        <w:rFonts w:asciiTheme="majorHAnsi" w:hAnsiTheme="majorHAnsi"/>
                        <w:sz w:val="10"/>
                        <w:szCs w:val="10"/>
                      </w:rPr>
                      <w:t>An agency of the European Union</w:t>
                    </w:r>
                  </w:p>
                </w:txbxContent>
              </v:textbox>
              <w10:wrap type="tight"/>
            </v:shape>
          </w:pict>
        </mc:Fallback>
      </mc:AlternateContent>
    </w:r>
    <w:r>
      <w:rPr>
        <w:rFonts w:asciiTheme="majorHAnsi" w:hAnsiTheme="majorHAnsi" w:cs="Verdana"/>
        <w:color w:val="000000"/>
        <w:sz w:val="18"/>
        <w:szCs w:val="18"/>
      </w:rPr>
      <w:t xml:space="preserve">                           </w:t>
    </w:r>
    <w:r w:rsidRPr="00A84FC6">
      <w:rPr>
        <w:rFonts w:asciiTheme="majorHAnsi" w:hAnsiTheme="majorHAnsi" w:cs="Verdana"/>
        <w:color w:val="000000"/>
        <w:sz w:val="18"/>
        <w:szCs w:val="18"/>
      </w:rPr>
      <w:t>Proprietary document. Copies are not controlled.</w:t>
    </w:r>
    <w:r w:rsidRPr="00A84FC6">
      <w:rPr>
        <w:rFonts w:asciiTheme="majorHAnsi" w:hAnsiTheme="majorHAnsi"/>
        <w:noProof/>
        <w:sz w:val="18"/>
        <w:szCs w:val="18"/>
      </w:rPr>
      <w:t xml:space="preserve"> </w:t>
    </w:r>
    <w:r w:rsidRPr="00A84FC6">
      <w:rPr>
        <w:rFonts w:asciiTheme="majorHAnsi" w:hAnsiTheme="majorHAnsi" w:cs="Verdana"/>
        <w:color w:val="000000"/>
        <w:sz w:val="18"/>
        <w:szCs w:val="18"/>
      </w:rPr>
      <w:t>Confirm revision status through the EASA-Internet/Intranet</w:t>
    </w:r>
  </w:p>
  <w:p w14:paraId="631B9D3B" w14:textId="77777777" w:rsidR="00340B1F" w:rsidRDefault="00340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C930" w14:textId="77777777" w:rsidR="00827A9A" w:rsidRDefault="00827A9A">
      <w:r>
        <w:separator/>
      </w:r>
    </w:p>
    <w:p w14:paraId="6ED8F633" w14:textId="77777777" w:rsidR="00827A9A" w:rsidRDefault="00827A9A"/>
  </w:footnote>
  <w:footnote w:type="continuationSeparator" w:id="0">
    <w:p w14:paraId="3F87CDD2" w14:textId="77777777" w:rsidR="00827A9A" w:rsidRDefault="00827A9A">
      <w:r>
        <w:continuationSeparator/>
      </w:r>
    </w:p>
    <w:p w14:paraId="57EFBE2A" w14:textId="77777777" w:rsidR="00827A9A" w:rsidRDefault="00827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9D2A" w14:textId="77777777" w:rsidR="00340B1F" w:rsidRDefault="00340B1F">
    <w:pPr>
      <w:pStyle w:val="Header"/>
    </w:pPr>
    <w:r>
      <w:rPr>
        <w:noProof/>
        <w:lang w:val="en-US" w:eastAsia="en-US"/>
      </w:rPr>
      <w:drawing>
        <wp:anchor distT="0" distB="0" distL="114300" distR="114300" simplePos="0" relativeHeight="251658240" behindDoc="0" locked="0" layoutInCell="1" allowOverlap="1" wp14:anchorId="631B9D3C" wp14:editId="631B9D3D">
          <wp:simplePos x="0" y="0"/>
          <wp:positionH relativeFrom="page">
            <wp:posOffset>720090</wp:posOffset>
          </wp:positionH>
          <wp:positionV relativeFrom="page">
            <wp:posOffset>605155</wp:posOffset>
          </wp:positionV>
          <wp:extent cx="1549400" cy="533400"/>
          <wp:effectExtent l="25400" t="0" r="0" b="0"/>
          <wp:wrapNone/>
          <wp:docPr id="1" name="Picture 1" descr="EASA-logo_RGB_positive_Office_432x147_white_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A-logo_RGB_positive_Office_432x147_white_frame.jpg"/>
                  <pic:cNvPicPr>
                    <a:picLocks noChangeAspect="1" noChangeArrowheads="1"/>
                  </pic:cNvPicPr>
                </pic:nvPicPr>
                <pic:blipFill>
                  <a:blip r:embed="rId1"/>
                  <a:srcRect/>
                  <a:stretch>
                    <a:fillRect/>
                  </a:stretch>
                </pic:blipFill>
                <pic:spPr bwMode="auto">
                  <a:xfrm>
                    <a:off x="0" y="0"/>
                    <a:ext cx="1549400" cy="533400"/>
                  </a:xfrm>
                  <a:prstGeom prst="rect">
                    <a:avLst/>
                  </a:prstGeom>
                  <a:noFill/>
                  <a:ln w="9525">
                    <a:noFill/>
                    <a:miter lim="800000"/>
                    <a:headEnd/>
                    <a:tailEnd/>
                  </a:ln>
                </pic:spPr>
              </pic:pic>
            </a:graphicData>
          </a:graphic>
        </wp:anchor>
      </w:drawing>
    </w:r>
  </w:p>
  <w:p w14:paraId="631B9D2B" w14:textId="77777777" w:rsidR="00340B1F" w:rsidRDefault="00340B1F">
    <w:pPr>
      <w:pStyle w:val="Header"/>
    </w:pPr>
  </w:p>
  <w:p w14:paraId="631B9D2C" w14:textId="77777777" w:rsidR="00340B1F" w:rsidRDefault="00340B1F">
    <w:pPr>
      <w:pStyle w:val="Header"/>
    </w:pPr>
  </w:p>
  <w:p w14:paraId="631B9D2D" w14:textId="77777777" w:rsidR="00340B1F" w:rsidRDefault="00340B1F">
    <w:pPr>
      <w:pStyle w:val="Header"/>
    </w:pPr>
  </w:p>
  <w:p w14:paraId="631B9D37" w14:textId="77777777" w:rsidR="00340B1F" w:rsidRDefault="00340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D37CD9"/>
    <w:multiLevelType w:val="hybridMultilevel"/>
    <w:tmpl w:val="0FFEC6C8"/>
    <w:lvl w:ilvl="0" w:tplc="08070001">
      <w:start w:val="1"/>
      <w:numFmt w:val="bullet"/>
      <w:lvlText w:val=""/>
      <w:lvlJc w:val="left"/>
      <w:pPr>
        <w:ind w:left="720" w:hanging="360"/>
      </w:pPr>
      <w:rPr>
        <w:rFonts w:ascii="Symbol" w:hAnsi="Symbol" w:hint="default"/>
      </w:rPr>
    </w:lvl>
    <w:lvl w:ilvl="1" w:tplc="66B6DF10">
      <w:numFmt w:val="bullet"/>
      <w:lvlText w:val="-"/>
      <w:lvlJc w:val="left"/>
      <w:pPr>
        <w:ind w:left="1440" w:hanging="360"/>
      </w:pPr>
      <w:rPr>
        <w:rFonts w:ascii="Calibri" w:eastAsia="Calibri" w:hAnsi="Calibri" w:cs="Calibri"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351A6630"/>
    <w:multiLevelType w:val="hybridMultilevel"/>
    <w:tmpl w:val="23446418"/>
    <w:lvl w:ilvl="0" w:tplc="B402599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E3284F"/>
    <w:multiLevelType w:val="hybridMultilevel"/>
    <w:tmpl w:val="27A40506"/>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47641107"/>
    <w:multiLevelType w:val="hybridMultilevel"/>
    <w:tmpl w:val="4B8A8346"/>
    <w:lvl w:ilvl="0" w:tplc="D644855E">
      <w:start w:val="1"/>
      <w:numFmt w:val="bullet"/>
      <w:pStyle w:val="BulletPoint2SubBullet"/>
      <w:lvlText w:val="-"/>
      <w:lvlJc w:val="left"/>
      <w:pPr>
        <w:tabs>
          <w:tab w:val="num" w:pos="397"/>
        </w:tabs>
        <w:ind w:left="794" w:hanging="397"/>
      </w:pPr>
      <w:rPr>
        <w:rFonts w:ascii="Univers (W1)" w:eastAsia="SimSun" w:hAnsi="Univers (W1)"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A74164"/>
    <w:multiLevelType w:val="hybridMultilevel"/>
    <w:tmpl w:val="F1700494"/>
    <w:lvl w:ilvl="0" w:tplc="0D9C6512">
      <w:start w:val="1"/>
      <w:numFmt w:val="bullet"/>
      <w:pStyle w:val="BulletPo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A73B4"/>
    <w:multiLevelType w:val="multilevel"/>
    <w:tmpl w:val="24AC39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4F1064A"/>
    <w:multiLevelType w:val="hybridMultilevel"/>
    <w:tmpl w:val="FB7A2E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9C43A2"/>
    <w:multiLevelType w:val="hybridMultilevel"/>
    <w:tmpl w:val="9B72E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406416">
    <w:abstractNumId w:val="1"/>
  </w:num>
  <w:num w:numId="2" w16cid:durableId="679503386">
    <w:abstractNumId w:val="5"/>
  </w:num>
  <w:num w:numId="3" w16cid:durableId="1872722886">
    <w:abstractNumId w:val="0"/>
  </w:num>
  <w:num w:numId="4" w16cid:durableId="2127962575">
    <w:abstractNumId w:val="2"/>
  </w:num>
  <w:num w:numId="5" w16cid:durableId="1679580128">
    <w:abstractNumId w:val="8"/>
  </w:num>
  <w:num w:numId="6" w16cid:durableId="2088455614">
    <w:abstractNumId w:val="10"/>
  </w:num>
  <w:num w:numId="7" w16cid:durableId="1691026959">
    <w:abstractNumId w:val="9"/>
  </w:num>
  <w:num w:numId="8" w16cid:durableId="437871506">
    <w:abstractNumId w:val="7"/>
  </w:num>
  <w:num w:numId="9" w16cid:durableId="1964076743">
    <w:abstractNumId w:val="11"/>
  </w:num>
  <w:num w:numId="10" w16cid:durableId="407851530">
    <w:abstractNumId w:val="12"/>
  </w:num>
  <w:num w:numId="11" w16cid:durableId="1087656940">
    <w:abstractNumId w:val="4"/>
  </w:num>
  <w:num w:numId="12" w16cid:durableId="2019456794">
    <w:abstractNumId w:val="3"/>
  </w:num>
  <w:num w:numId="13" w16cid:durableId="75847765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noPunctuationKerning/>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05"/>
    <w:rsid w:val="00011A05"/>
    <w:rsid w:val="00033CD5"/>
    <w:rsid w:val="000600F5"/>
    <w:rsid w:val="000A3AAB"/>
    <w:rsid w:val="000D58A8"/>
    <w:rsid w:val="000E0C27"/>
    <w:rsid w:val="000F0531"/>
    <w:rsid w:val="00126CCC"/>
    <w:rsid w:val="00137383"/>
    <w:rsid w:val="00137E6C"/>
    <w:rsid w:val="001575B6"/>
    <w:rsid w:val="00196119"/>
    <w:rsid w:val="001C0EB2"/>
    <w:rsid w:val="001C2FEA"/>
    <w:rsid w:val="001C4D50"/>
    <w:rsid w:val="001E23DC"/>
    <w:rsid w:val="00214E6F"/>
    <w:rsid w:val="00217C69"/>
    <w:rsid w:val="002419A4"/>
    <w:rsid w:val="002419F5"/>
    <w:rsid w:val="0025604A"/>
    <w:rsid w:val="00256DC7"/>
    <w:rsid w:val="002A389C"/>
    <w:rsid w:val="002B3EC1"/>
    <w:rsid w:val="002B5021"/>
    <w:rsid w:val="002D51D3"/>
    <w:rsid w:val="003321F3"/>
    <w:rsid w:val="00332267"/>
    <w:rsid w:val="00340B1F"/>
    <w:rsid w:val="00346DC9"/>
    <w:rsid w:val="0036653B"/>
    <w:rsid w:val="00394A2C"/>
    <w:rsid w:val="003A0448"/>
    <w:rsid w:val="003A773D"/>
    <w:rsid w:val="003A7A56"/>
    <w:rsid w:val="003E6638"/>
    <w:rsid w:val="003F39D6"/>
    <w:rsid w:val="003F3A72"/>
    <w:rsid w:val="00416AFE"/>
    <w:rsid w:val="0043466A"/>
    <w:rsid w:val="0045084E"/>
    <w:rsid w:val="00462A83"/>
    <w:rsid w:val="00464FFD"/>
    <w:rsid w:val="004B4AD9"/>
    <w:rsid w:val="004D023F"/>
    <w:rsid w:val="004E6E7B"/>
    <w:rsid w:val="004E75F5"/>
    <w:rsid w:val="004F3213"/>
    <w:rsid w:val="00525515"/>
    <w:rsid w:val="00530F2C"/>
    <w:rsid w:val="00551B75"/>
    <w:rsid w:val="00564BFF"/>
    <w:rsid w:val="005763B8"/>
    <w:rsid w:val="00593ED6"/>
    <w:rsid w:val="005B327F"/>
    <w:rsid w:val="005F7D3A"/>
    <w:rsid w:val="006207A0"/>
    <w:rsid w:val="006304FD"/>
    <w:rsid w:val="00660AF5"/>
    <w:rsid w:val="00666B30"/>
    <w:rsid w:val="00666BDB"/>
    <w:rsid w:val="00670383"/>
    <w:rsid w:val="006D5335"/>
    <w:rsid w:val="00740B00"/>
    <w:rsid w:val="00742EE1"/>
    <w:rsid w:val="007A0248"/>
    <w:rsid w:val="007B1CBD"/>
    <w:rsid w:val="007D37F9"/>
    <w:rsid w:val="008021C0"/>
    <w:rsid w:val="00815B79"/>
    <w:rsid w:val="00827A9A"/>
    <w:rsid w:val="00831761"/>
    <w:rsid w:val="008479F4"/>
    <w:rsid w:val="00872656"/>
    <w:rsid w:val="008875E4"/>
    <w:rsid w:val="008906B6"/>
    <w:rsid w:val="00893BC1"/>
    <w:rsid w:val="008B031F"/>
    <w:rsid w:val="00944E7B"/>
    <w:rsid w:val="00956AC4"/>
    <w:rsid w:val="00962196"/>
    <w:rsid w:val="00990C5B"/>
    <w:rsid w:val="00991C38"/>
    <w:rsid w:val="009B6803"/>
    <w:rsid w:val="00A02765"/>
    <w:rsid w:val="00A07751"/>
    <w:rsid w:val="00A37E17"/>
    <w:rsid w:val="00A52358"/>
    <w:rsid w:val="00A5408A"/>
    <w:rsid w:val="00A84FC6"/>
    <w:rsid w:val="00A9354D"/>
    <w:rsid w:val="00AA2B1D"/>
    <w:rsid w:val="00AB1455"/>
    <w:rsid w:val="00AD56DB"/>
    <w:rsid w:val="00AF24CF"/>
    <w:rsid w:val="00AF69AE"/>
    <w:rsid w:val="00B2290F"/>
    <w:rsid w:val="00B256D0"/>
    <w:rsid w:val="00B32F29"/>
    <w:rsid w:val="00B542EF"/>
    <w:rsid w:val="00B60D8B"/>
    <w:rsid w:val="00B70BAB"/>
    <w:rsid w:val="00B83F72"/>
    <w:rsid w:val="00BE4A90"/>
    <w:rsid w:val="00C23445"/>
    <w:rsid w:val="00C24097"/>
    <w:rsid w:val="00C43A60"/>
    <w:rsid w:val="00C94775"/>
    <w:rsid w:val="00CB78B8"/>
    <w:rsid w:val="00CE7EF2"/>
    <w:rsid w:val="00D21495"/>
    <w:rsid w:val="00D23C33"/>
    <w:rsid w:val="00D575DE"/>
    <w:rsid w:val="00D60C77"/>
    <w:rsid w:val="00D62234"/>
    <w:rsid w:val="00D63AC6"/>
    <w:rsid w:val="00D90A44"/>
    <w:rsid w:val="00DA6F1F"/>
    <w:rsid w:val="00DE03F0"/>
    <w:rsid w:val="00E04CD3"/>
    <w:rsid w:val="00E11F1E"/>
    <w:rsid w:val="00E13E05"/>
    <w:rsid w:val="00E274B4"/>
    <w:rsid w:val="00E30A5D"/>
    <w:rsid w:val="00E31ED7"/>
    <w:rsid w:val="00E33191"/>
    <w:rsid w:val="00E368B8"/>
    <w:rsid w:val="00E65FBC"/>
    <w:rsid w:val="00E9161D"/>
    <w:rsid w:val="00E9305B"/>
    <w:rsid w:val="00EB35D5"/>
    <w:rsid w:val="00EC7A85"/>
    <w:rsid w:val="00ED54C9"/>
    <w:rsid w:val="00EF5C61"/>
    <w:rsid w:val="00F00315"/>
    <w:rsid w:val="00F1740D"/>
    <w:rsid w:val="00F46DF9"/>
    <w:rsid w:val="00F50728"/>
    <w:rsid w:val="00F61401"/>
    <w:rsid w:val="00FA5995"/>
    <w:rsid w:val="00FB6540"/>
    <w:rsid w:val="00FC6870"/>
    <w:rsid w:val="00FE7472"/>
    <w:rsid w:val="00FF3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B9CD4"/>
  <w15:docId w15:val="{B12CA897-E592-495D-B107-193CC80F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D21"/>
    <w:rPr>
      <w:rFonts w:ascii="Calibri" w:hAnsi="Calibri"/>
      <w:sz w:val="22"/>
      <w:lang w:val="en-GB" w:eastAsia="en-GB"/>
    </w:rPr>
  </w:style>
  <w:style w:type="paragraph" w:styleId="Heading1">
    <w:name w:val="heading 1"/>
    <w:basedOn w:val="Normal"/>
    <w:next w:val="Normal"/>
    <w:qFormat/>
    <w:rsid w:val="002D1928"/>
    <w:pPr>
      <w:keepNext/>
      <w:spacing w:before="240" w:after="60"/>
      <w:outlineLvl w:val="0"/>
    </w:pPr>
    <w:rPr>
      <w:rFonts w:cs="Arial"/>
      <w:b/>
      <w:bCs/>
      <w:color w:val="007FC2"/>
      <w:kern w:val="32"/>
      <w:sz w:val="28"/>
      <w:szCs w:val="32"/>
    </w:rPr>
  </w:style>
  <w:style w:type="paragraph" w:styleId="Heading2">
    <w:name w:val="heading 2"/>
    <w:basedOn w:val="Normal"/>
    <w:next w:val="Normal"/>
    <w:link w:val="Heading2Char"/>
    <w:qFormat/>
    <w:rsid w:val="00BF3223"/>
    <w:pPr>
      <w:keepNext/>
      <w:spacing w:before="240" w:after="60"/>
      <w:outlineLvl w:val="1"/>
    </w:pPr>
    <w:rPr>
      <w:bCs/>
      <w:iCs/>
      <w:color w:val="222F64"/>
      <w:sz w:val="28"/>
      <w:szCs w:val="28"/>
    </w:rPr>
  </w:style>
  <w:style w:type="paragraph" w:styleId="Heading3">
    <w:name w:val="heading 3"/>
    <w:basedOn w:val="Normal"/>
    <w:next w:val="Normal"/>
    <w:qFormat/>
    <w:rsid w:val="00BF3223"/>
    <w:pPr>
      <w:keepNext/>
      <w:spacing w:before="240" w:after="60"/>
      <w:outlineLvl w:val="2"/>
    </w:pPr>
    <w:rPr>
      <w:rFonts w:cs="Arial"/>
      <w:bCs/>
      <w:color w:val="007FC2"/>
      <w:sz w:val="28"/>
      <w:szCs w:val="26"/>
    </w:rPr>
  </w:style>
  <w:style w:type="paragraph" w:styleId="Heading4">
    <w:name w:val="heading 4"/>
    <w:basedOn w:val="Normal"/>
    <w:next w:val="Normal"/>
    <w:qFormat/>
    <w:rsid w:val="00BF3223"/>
    <w:pPr>
      <w:keepNext/>
      <w:spacing w:before="240" w:after="60"/>
      <w:outlineLvl w:val="3"/>
    </w:pPr>
    <w:rPr>
      <w:b/>
      <w:bCs/>
      <w:color w:val="222F64"/>
      <w:szCs w:val="28"/>
    </w:rPr>
  </w:style>
  <w:style w:type="paragraph" w:styleId="Heading5">
    <w:name w:val="heading 5"/>
    <w:basedOn w:val="Normal"/>
    <w:next w:val="Normal"/>
    <w:qFormat/>
    <w:rsid w:val="00D547A2"/>
    <w:pPr>
      <w:spacing w:before="240" w:after="60"/>
      <w:outlineLvl w:val="4"/>
    </w:pPr>
    <w:rPr>
      <w:bCs/>
      <w:iCs/>
      <w:color w:val="007FC2"/>
      <w:szCs w:val="26"/>
    </w:rPr>
  </w:style>
  <w:style w:type="paragraph" w:styleId="Heading6">
    <w:name w:val="heading 6"/>
    <w:aliases w:val="Do not use 6"/>
    <w:basedOn w:val="Normal"/>
    <w:next w:val="Normal"/>
    <w:autoRedefine/>
    <w:rsid w:val="00BF3223"/>
    <w:pPr>
      <w:spacing w:before="240" w:after="60"/>
      <w:outlineLvl w:val="5"/>
    </w:pPr>
    <w:rPr>
      <w:rFonts w:ascii="Times New Roman" w:hAnsi="Times New Roman"/>
      <w:b/>
      <w:bCs/>
      <w:i/>
      <w:sz w:val="16"/>
      <w:szCs w:val="22"/>
      <w:u w:val="single"/>
    </w:rPr>
  </w:style>
  <w:style w:type="paragraph" w:styleId="Heading7">
    <w:name w:val="heading 7"/>
    <w:aliases w:val="Do not use 7"/>
    <w:basedOn w:val="Normal"/>
    <w:next w:val="Normal"/>
    <w:rsid w:val="00BF3223"/>
    <w:pPr>
      <w:spacing w:before="240" w:after="60"/>
      <w:outlineLvl w:val="6"/>
    </w:pPr>
    <w:rPr>
      <w:rFonts w:ascii="Times New Roman" w:hAnsi="Times New Roman"/>
      <w:b/>
      <w:i/>
      <w:sz w:val="16"/>
      <w:u w:val="single"/>
    </w:rPr>
  </w:style>
  <w:style w:type="paragraph" w:styleId="Heading8">
    <w:name w:val="heading 8"/>
    <w:aliases w:val="Do not use 8"/>
    <w:basedOn w:val="Normal"/>
    <w:next w:val="Normal"/>
    <w:rsid w:val="00BF3223"/>
    <w:pPr>
      <w:spacing w:before="240" w:after="60"/>
      <w:outlineLvl w:val="7"/>
    </w:pPr>
    <w:rPr>
      <w:rFonts w:ascii="Times New Roman" w:hAnsi="Times New Roman"/>
      <w:b/>
      <w:i/>
      <w:iCs/>
      <w:sz w:val="16"/>
      <w:u w:val="single"/>
    </w:rPr>
  </w:style>
  <w:style w:type="paragraph" w:styleId="Heading9">
    <w:name w:val="heading 9"/>
    <w:aliases w:val="Do not use 9"/>
    <w:basedOn w:val="Normal"/>
    <w:next w:val="Normal"/>
    <w:rsid w:val="00BF3223"/>
    <w:pPr>
      <w:spacing w:before="240" w:after="60"/>
      <w:outlineLvl w:val="8"/>
    </w:pPr>
    <w:rPr>
      <w:rFonts w:ascii="Times New Roman" w:hAnsi="Times New Roman" w:cs="Arial"/>
      <w:b/>
      <w:i/>
      <w:sz w:val="1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F3223"/>
    <w:rPr>
      <w:rFonts w:ascii="Calibri" w:hAnsi="Calibri"/>
      <w:bCs/>
      <w:iCs/>
      <w:color w:val="222F64"/>
      <w:sz w:val="28"/>
      <w:szCs w:val="28"/>
      <w:lang w:val="en-GB" w:eastAsia="en-GB"/>
    </w:rPr>
  </w:style>
  <w:style w:type="paragraph" w:styleId="Header">
    <w:name w:val="header"/>
    <w:basedOn w:val="Normal"/>
    <w:link w:val="HeaderChar"/>
    <w:uiPriority w:val="99"/>
    <w:rsid w:val="005B2F1A"/>
    <w:pPr>
      <w:tabs>
        <w:tab w:val="center" w:pos="4153"/>
        <w:tab w:val="right" w:pos="8306"/>
      </w:tabs>
    </w:pPr>
  </w:style>
  <w:style w:type="paragraph" w:styleId="Footer">
    <w:name w:val="footer"/>
    <w:basedOn w:val="Normal"/>
    <w:semiHidden/>
    <w:rsid w:val="005B2F1A"/>
    <w:pPr>
      <w:tabs>
        <w:tab w:val="center" w:pos="4153"/>
        <w:tab w:val="right" w:pos="8306"/>
      </w:tabs>
    </w:pPr>
  </w:style>
  <w:style w:type="paragraph" w:styleId="BalloonText">
    <w:name w:val="Balloon Text"/>
    <w:basedOn w:val="Normal"/>
    <w:semiHidden/>
    <w:rsid w:val="00A56A8A"/>
    <w:rPr>
      <w:rFonts w:ascii="Tahoma" w:hAnsi="Tahoma" w:cs="Tahoma"/>
      <w:sz w:val="16"/>
      <w:szCs w:val="16"/>
    </w:rPr>
  </w:style>
  <w:style w:type="table" w:styleId="TableGrid">
    <w:name w:val="Table Grid"/>
    <w:aliases w:val="Table with Light Blue Header"/>
    <w:basedOn w:val="TableNormal"/>
    <w:semiHidden/>
    <w:rsid w:val="009204DE"/>
    <w:rPr>
      <w:rFonts w:ascii="Calibri" w:hAnsi="Calibri"/>
      <w:sz w:val="22"/>
    </w:rPr>
    <w:tblPr>
      <w:tblStyleRowBandSize w:val="1"/>
      <w:tblBorders>
        <w:insideV w:val="dotted" w:sz="4" w:space="0" w:color="222F64"/>
      </w:tblBorders>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007FC2"/>
      </w:tcPr>
    </w:tblStylePr>
    <w:tblStylePr w:type="band2Horz">
      <w:tblPr/>
      <w:tcPr>
        <w:shd w:val="clear" w:color="auto" w:fill="CCE5F3"/>
      </w:tcPr>
    </w:tblStylePr>
  </w:style>
  <w:style w:type="character" w:styleId="PageNumber">
    <w:name w:val="page number"/>
    <w:basedOn w:val="DefaultParagraphFont"/>
    <w:rsid w:val="009204DE"/>
    <w:rPr>
      <w:rFonts w:ascii="Calibri" w:hAnsi="Calibri"/>
      <w:color w:val="auto"/>
      <w:sz w:val="16"/>
    </w:rPr>
  </w:style>
  <w:style w:type="character" w:styleId="Hyperlink">
    <w:name w:val="Hyperlink"/>
    <w:semiHidden/>
    <w:rsid w:val="008D1061"/>
    <w:rPr>
      <w:color w:val="0000FF"/>
      <w:u w:val="single"/>
    </w:rPr>
  </w:style>
  <w:style w:type="paragraph" w:customStyle="1" w:styleId="HEADERCHAPTER3">
    <w:name w:val="HEADER CHAPTER 3"/>
    <w:next w:val="Normal"/>
    <w:semiHidden/>
    <w:rsid w:val="00584F7D"/>
    <w:pPr>
      <w:numPr>
        <w:numId w:val="4"/>
      </w:numPr>
      <w:spacing w:before="240" w:after="240"/>
    </w:pPr>
    <w:rPr>
      <w:rFonts w:ascii="Verdana" w:hAnsi="Verdana"/>
      <w:b/>
      <w:caps/>
      <w:sz w:val="22"/>
      <w:lang w:val="en-GB" w:eastAsia="en-GB"/>
    </w:rPr>
  </w:style>
  <w:style w:type="paragraph" w:customStyle="1" w:styleId="HEADERCHAPTER4">
    <w:name w:val="HEADER CHAPTER 4"/>
    <w:next w:val="Normal"/>
    <w:semiHidden/>
    <w:rsid w:val="00C73E04"/>
    <w:pPr>
      <w:numPr>
        <w:numId w:val="5"/>
      </w:numPr>
      <w:spacing w:before="240" w:after="240"/>
    </w:pPr>
    <w:rPr>
      <w:rFonts w:ascii="Verdana" w:hAnsi="Verdana"/>
      <w:b/>
      <w:caps/>
      <w:sz w:val="22"/>
      <w:szCs w:val="22"/>
      <w:lang w:val="en-GB" w:eastAsia="en-GB"/>
    </w:rPr>
  </w:style>
  <w:style w:type="paragraph" w:customStyle="1" w:styleId="HEADERCHAPTER1">
    <w:name w:val="HEADER CHAPTER 1"/>
    <w:basedOn w:val="Normal"/>
    <w:semiHidden/>
    <w:rsid w:val="00153735"/>
    <w:pPr>
      <w:numPr>
        <w:numId w:val="3"/>
      </w:numPr>
      <w:spacing w:before="240" w:after="240"/>
    </w:pPr>
    <w:rPr>
      <w:b/>
      <w:caps/>
      <w:szCs w:val="22"/>
    </w:rPr>
  </w:style>
  <w:style w:type="paragraph" w:customStyle="1" w:styleId="HEADERCHAPTER2">
    <w:name w:val="HEADER CHAPTER 2"/>
    <w:basedOn w:val="HEADERCHAPTER1"/>
    <w:semiHidden/>
    <w:rsid w:val="00584F7D"/>
    <w:pPr>
      <w:numPr>
        <w:numId w:val="1"/>
      </w:numPr>
    </w:pPr>
  </w:style>
  <w:style w:type="paragraph" w:customStyle="1" w:styleId="StyleVerdana10ptCentered">
    <w:name w:val="Style Verdana 10 pt Centered"/>
    <w:basedOn w:val="Normal"/>
    <w:semiHidden/>
    <w:rsid w:val="002309EB"/>
    <w:pPr>
      <w:numPr>
        <w:numId w:val="2"/>
      </w:numPr>
      <w:jc w:val="center"/>
    </w:pPr>
    <w:rPr>
      <w:rFonts w:ascii="Verdana" w:hAnsi="Verdana"/>
      <w:sz w:val="20"/>
      <w:szCs w:val="20"/>
    </w:rPr>
  </w:style>
  <w:style w:type="paragraph" w:customStyle="1" w:styleId="PARTHEADER">
    <w:name w:val="PART HEADER"/>
    <w:basedOn w:val="Normal"/>
    <w:semiHidden/>
    <w:rsid w:val="004E30D6"/>
    <w:pPr>
      <w:spacing w:before="120" w:after="120"/>
      <w:jc w:val="center"/>
    </w:pPr>
    <w:rPr>
      <w:sz w:val="36"/>
      <w:szCs w:val="36"/>
    </w:rPr>
  </w:style>
  <w:style w:type="character" w:styleId="CommentReference">
    <w:name w:val="annotation reference"/>
    <w:semiHidden/>
    <w:rsid w:val="00E15E99"/>
    <w:rPr>
      <w:sz w:val="16"/>
      <w:szCs w:val="16"/>
    </w:rPr>
  </w:style>
  <w:style w:type="paragraph" w:styleId="CommentText">
    <w:name w:val="annotation text"/>
    <w:basedOn w:val="Normal"/>
    <w:semiHidden/>
    <w:rsid w:val="00E15E99"/>
    <w:rPr>
      <w:szCs w:val="20"/>
    </w:rPr>
  </w:style>
  <w:style w:type="paragraph" w:styleId="CommentSubject">
    <w:name w:val="annotation subject"/>
    <w:basedOn w:val="CommentText"/>
    <w:next w:val="CommentText"/>
    <w:semiHidden/>
    <w:rsid w:val="00E15E99"/>
    <w:rPr>
      <w:b/>
      <w:bCs/>
    </w:rPr>
  </w:style>
  <w:style w:type="paragraph" w:customStyle="1" w:styleId="HeaderTable">
    <w:name w:val="Header Table"/>
    <w:basedOn w:val="Normal"/>
    <w:qFormat/>
    <w:rsid w:val="00137E6C"/>
    <w:rPr>
      <w:b/>
      <w:color w:val="FFFFFF"/>
    </w:rPr>
  </w:style>
  <w:style w:type="paragraph" w:customStyle="1" w:styleId="BulletPont1">
    <w:name w:val="Bullet Pont 1"/>
    <w:basedOn w:val="Normal"/>
    <w:rsid w:val="00FC599F"/>
    <w:pPr>
      <w:numPr>
        <w:numId w:val="7"/>
      </w:numPr>
      <w:jc w:val="both"/>
    </w:pPr>
    <w:rPr>
      <w:szCs w:val="20"/>
      <w:lang w:val="pt-PT"/>
    </w:rPr>
  </w:style>
  <w:style w:type="paragraph" w:customStyle="1" w:styleId="BulletPoint2SubBullet">
    <w:name w:val="Bullet Point 2 (Sub Bullet)"/>
    <w:basedOn w:val="BulletPont1"/>
    <w:rsid w:val="00B465FA"/>
    <w:pPr>
      <w:numPr>
        <w:numId w:val="8"/>
      </w:numPr>
    </w:pPr>
  </w:style>
  <w:style w:type="paragraph" w:styleId="DocumentMap">
    <w:name w:val="Document Map"/>
    <w:basedOn w:val="Normal"/>
    <w:semiHidden/>
    <w:rsid w:val="00C70EEB"/>
    <w:pPr>
      <w:shd w:val="clear" w:color="auto" w:fill="000080"/>
    </w:pPr>
    <w:rPr>
      <w:rFonts w:ascii="Tahoma" w:hAnsi="Tahoma" w:cs="Tahoma"/>
      <w:szCs w:val="20"/>
    </w:rPr>
  </w:style>
  <w:style w:type="paragraph" w:customStyle="1" w:styleId="Untertitel1">
    <w:name w:val="Untertitel1"/>
    <w:basedOn w:val="Normal"/>
    <w:qFormat/>
    <w:rsid w:val="00D547A2"/>
    <w:pPr>
      <w:jc w:val="center"/>
    </w:pPr>
    <w:rPr>
      <w:color w:val="222F64"/>
      <w:sz w:val="36"/>
      <w:szCs w:val="32"/>
    </w:rPr>
  </w:style>
  <w:style w:type="paragraph" w:customStyle="1" w:styleId="Titel1">
    <w:name w:val="Titel1"/>
    <w:basedOn w:val="Normal"/>
    <w:qFormat/>
    <w:rsid w:val="00786C86"/>
    <w:pPr>
      <w:jc w:val="center"/>
    </w:pPr>
    <w:rPr>
      <w:b/>
      <w:color w:val="007FC2"/>
      <w:sz w:val="40"/>
      <w:szCs w:val="36"/>
    </w:rPr>
  </w:style>
  <w:style w:type="character" w:customStyle="1" w:styleId="HeaderChar">
    <w:name w:val="Header Char"/>
    <w:basedOn w:val="DefaultParagraphFont"/>
    <w:link w:val="Header"/>
    <w:uiPriority w:val="99"/>
    <w:rsid w:val="00E11F1E"/>
    <w:rPr>
      <w:rFonts w:ascii="Calibri" w:hAnsi="Calibri"/>
      <w:sz w:val="22"/>
      <w:lang w:val="en-GB" w:eastAsia="en-GB"/>
    </w:rPr>
  </w:style>
  <w:style w:type="paragraph" w:styleId="ListParagraph">
    <w:name w:val="List Paragraph"/>
    <w:basedOn w:val="Normal"/>
    <w:uiPriority w:val="34"/>
    <w:qFormat/>
    <w:rsid w:val="0062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068">
      <w:bodyDiv w:val="1"/>
      <w:marLeft w:val="0"/>
      <w:marRight w:val="0"/>
      <w:marTop w:val="0"/>
      <w:marBottom w:val="0"/>
      <w:divBdr>
        <w:top w:val="none" w:sz="0" w:space="0" w:color="auto"/>
        <w:left w:val="none" w:sz="0" w:space="0" w:color="auto"/>
        <w:bottom w:val="none" w:sz="0" w:space="0" w:color="auto"/>
        <w:right w:val="none" w:sz="0" w:space="0" w:color="auto"/>
      </w:divBdr>
    </w:div>
    <w:div w:id="30888697">
      <w:bodyDiv w:val="1"/>
      <w:marLeft w:val="0"/>
      <w:marRight w:val="0"/>
      <w:marTop w:val="0"/>
      <w:marBottom w:val="0"/>
      <w:divBdr>
        <w:top w:val="none" w:sz="0" w:space="0" w:color="auto"/>
        <w:left w:val="none" w:sz="0" w:space="0" w:color="auto"/>
        <w:bottom w:val="none" w:sz="0" w:space="0" w:color="auto"/>
        <w:right w:val="none" w:sz="0" w:space="0" w:color="auto"/>
      </w:divBdr>
    </w:div>
    <w:div w:id="38939386">
      <w:bodyDiv w:val="1"/>
      <w:marLeft w:val="0"/>
      <w:marRight w:val="0"/>
      <w:marTop w:val="0"/>
      <w:marBottom w:val="0"/>
      <w:divBdr>
        <w:top w:val="none" w:sz="0" w:space="0" w:color="auto"/>
        <w:left w:val="none" w:sz="0" w:space="0" w:color="auto"/>
        <w:bottom w:val="none" w:sz="0" w:space="0" w:color="auto"/>
        <w:right w:val="none" w:sz="0" w:space="0" w:color="auto"/>
      </w:divBdr>
    </w:div>
    <w:div w:id="63380829">
      <w:bodyDiv w:val="1"/>
      <w:marLeft w:val="0"/>
      <w:marRight w:val="0"/>
      <w:marTop w:val="0"/>
      <w:marBottom w:val="0"/>
      <w:divBdr>
        <w:top w:val="none" w:sz="0" w:space="0" w:color="auto"/>
        <w:left w:val="none" w:sz="0" w:space="0" w:color="auto"/>
        <w:bottom w:val="none" w:sz="0" w:space="0" w:color="auto"/>
        <w:right w:val="none" w:sz="0" w:space="0" w:color="auto"/>
      </w:divBdr>
    </w:div>
    <w:div w:id="86195214">
      <w:bodyDiv w:val="1"/>
      <w:marLeft w:val="0"/>
      <w:marRight w:val="0"/>
      <w:marTop w:val="0"/>
      <w:marBottom w:val="0"/>
      <w:divBdr>
        <w:top w:val="none" w:sz="0" w:space="0" w:color="auto"/>
        <w:left w:val="none" w:sz="0" w:space="0" w:color="auto"/>
        <w:bottom w:val="none" w:sz="0" w:space="0" w:color="auto"/>
        <w:right w:val="none" w:sz="0" w:space="0" w:color="auto"/>
      </w:divBdr>
    </w:div>
    <w:div w:id="167866490">
      <w:bodyDiv w:val="1"/>
      <w:marLeft w:val="0"/>
      <w:marRight w:val="0"/>
      <w:marTop w:val="0"/>
      <w:marBottom w:val="0"/>
      <w:divBdr>
        <w:top w:val="none" w:sz="0" w:space="0" w:color="auto"/>
        <w:left w:val="none" w:sz="0" w:space="0" w:color="auto"/>
        <w:bottom w:val="none" w:sz="0" w:space="0" w:color="auto"/>
        <w:right w:val="none" w:sz="0" w:space="0" w:color="auto"/>
      </w:divBdr>
    </w:div>
    <w:div w:id="175655893">
      <w:bodyDiv w:val="1"/>
      <w:marLeft w:val="0"/>
      <w:marRight w:val="0"/>
      <w:marTop w:val="0"/>
      <w:marBottom w:val="0"/>
      <w:divBdr>
        <w:top w:val="none" w:sz="0" w:space="0" w:color="auto"/>
        <w:left w:val="none" w:sz="0" w:space="0" w:color="auto"/>
        <w:bottom w:val="none" w:sz="0" w:space="0" w:color="auto"/>
        <w:right w:val="none" w:sz="0" w:space="0" w:color="auto"/>
      </w:divBdr>
    </w:div>
    <w:div w:id="264266760">
      <w:bodyDiv w:val="1"/>
      <w:marLeft w:val="0"/>
      <w:marRight w:val="0"/>
      <w:marTop w:val="0"/>
      <w:marBottom w:val="0"/>
      <w:divBdr>
        <w:top w:val="none" w:sz="0" w:space="0" w:color="auto"/>
        <w:left w:val="none" w:sz="0" w:space="0" w:color="auto"/>
        <w:bottom w:val="none" w:sz="0" w:space="0" w:color="auto"/>
        <w:right w:val="none" w:sz="0" w:space="0" w:color="auto"/>
      </w:divBdr>
    </w:div>
    <w:div w:id="362829466">
      <w:bodyDiv w:val="1"/>
      <w:marLeft w:val="0"/>
      <w:marRight w:val="0"/>
      <w:marTop w:val="0"/>
      <w:marBottom w:val="0"/>
      <w:divBdr>
        <w:top w:val="none" w:sz="0" w:space="0" w:color="auto"/>
        <w:left w:val="none" w:sz="0" w:space="0" w:color="auto"/>
        <w:bottom w:val="none" w:sz="0" w:space="0" w:color="auto"/>
        <w:right w:val="none" w:sz="0" w:space="0" w:color="auto"/>
      </w:divBdr>
    </w:div>
    <w:div w:id="374818423">
      <w:bodyDiv w:val="1"/>
      <w:marLeft w:val="0"/>
      <w:marRight w:val="0"/>
      <w:marTop w:val="0"/>
      <w:marBottom w:val="0"/>
      <w:divBdr>
        <w:top w:val="none" w:sz="0" w:space="0" w:color="auto"/>
        <w:left w:val="none" w:sz="0" w:space="0" w:color="auto"/>
        <w:bottom w:val="none" w:sz="0" w:space="0" w:color="auto"/>
        <w:right w:val="none" w:sz="0" w:space="0" w:color="auto"/>
      </w:divBdr>
    </w:div>
    <w:div w:id="487289741">
      <w:bodyDiv w:val="1"/>
      <w:marLeft w:val="0"/>
      <w:marRight w:val="0"/>
      <w:marTop w:val="0"/>
      <w:marBottom w:val="0"/>
      <w:divBdr>
        <w:top w:val="none" w:sz="0" w:space="0" w:color="auto"/>
        <w:left w:val="none" w:sz="0" w:space="0" w:color="auto"/>
        <w:bottom w:val="none" w:sz="0" w:space="0" w:color="auto"/>
        <w:right w:val="none" w:sz="0" w:space="0" w:color="auto"/>
      </w:divBdr>
    </w:div>
    <w:div w:id="568735143">
      <w:bodyDiv w:val="1"/>
      <w:marLeft w:val="0"/>
      <w:marRight w:val="0"/>
      <w:marTop w:val="0"/>
      <w:marBottom w:val="0"/>
      <w:divBdr>
        <w:top w:val="none" w:sz="0" w:space="0" w:color="auto"/>
        <w:left w:val="none" w:sz="0" w:space="0" w:color="auto"/>
        <w:bottom w:val="none" w:sz="0" w:space="0" w:color="auto"/>
        <w:right w:val="none" w:sz="0" w:space="0" w:color="auto"/>
      </w:divBdr>
    </w:div>
    <w:div w:id="654266045">
      <w:bodyDiv w:val="1"/>
      <w:marLeft w:val="0"/>
      <w:marRight w:val="0"/>
      <w:marTop w:val="0"/>
      <w:marBottom w:val="0"/>
      <w:divBdr>
        <w:top w:val="none" w:sz="0" w:space="0" w:color="auto"/>
        <w:left w:val="none" w:sz="0" w:space="0" w:color="auto"/>
        <w:bottom w:val="none" w:sz="0" w:space="0" w:color="auto"/>
        <w:right w:val="none" w:sz="0" w:space="0" w:color="auto"/>
      </w:divBdr>
    </w:div>
    <w:div w:id="739059949">
      <w:bodyDiv w:val="1"/>
      <w:marLeft w:val="0"/>
      <w:marRight w:val="0"/>
      <w:marTop w:val="0"/>
      <w:marBottom w:val="0"/>
      <w:divBdr>
        <w:top w:val="none" w:sz="0" w:space="0" w:color="auto"/>
        <w:left w:val="none" w:sz="0" w:space="0" w:color="auto"/>
        <w:bottom w:val="none" w:sz="0" w:space="0" w:color="auto"/>
        <w:right w:val="none" w:sz="0" w:space="0" w:color="auto"/>
      </w:divBdr>
    </w:div>
    <w:div w:id="746808300">
      <w:bodyDiv w:val="1"/>
      <w:marLeft w:val="0"/>
      <w:marRight w:val="0"/>
      <w:marTop w:val="0"/>
      <w:marBottom w:val="0"/>
      <w:divBdr>
        <w:top w:val="none" w:sz="0" w:space="0" w:color="auto"/>
        <w:left w:val="none" w:sz="0" w:space="0" w:color="auto"/>
        <w:bottom w:val="none" w:sz="0" w:space="0" w:color="auto"/>
        <w:right w:val="none" w:sz="0" w:space="0" w:color="auto"/>
      </w:divBdr>
    </w:div>
    <w:div w:id="776213964">
      <w:bodyDiv w:val="1"/>
      <w:marLeft w:val="0"/>
      <w:marRight w:val="0"/>
      <w:marTop w:val="0"/>
      <w:marBottom w:val="0"/>
      <w:divBdr>
        <w:top w:val="none" w:sz="0" w:space="0" w:color="auto"/>
        <w:left w:val="none" w:sz="0" w:space="0" w:color="auto"/>
        <w:bottom w:val="none" w:sz="0" w:space="0" w:color="auto"/>
        <w:right w:val="none" w:sz="0" w:space="0" w:color="auto"/>
      </w:divBdr>
    </w:div>
    <w:div w:id="830368723">
      <w:bodyDiv w:val="1"/>
      <w:marLeft w:val="0"/>
      <w:marRight w:val="0"/>
      <w:marTop w:val="0"/>
      <w:marBottom w:val="0"/>
      <w:divBdr>
        <w:top w:val="none" w:sz="0" w:space="0" w:color="auto"/>
        <w:left w:val="none" w:sz="0" w:space="0" w:color="auto"/>
        <w:bottom w:val="none" w:sz="0" w:space="0" w:color="auto"/>
        <w:right w:val="none" w:sz="0" w:space="0" w:color="auto"/>
      </w:divBdr>
    </w:div>
    <w:div w:id="888759769">
      <w:bodyDiv w:val="1"/>
      <w:marLeft w:val="0"/>
      <w:marRight w:val="0"/>
      <w:marTop w:val="0"/>
      <w:marBottom w:val="0"/>
      <w:divBdr>
        <w:top w:val="none" w:sz="0" w:space="0" w:color="auto"/>
        <w:left w:val="none" w:sz="0" w:space="0" w:color="auto"/>
        <w:bottom w:val="none" w:sz="0" w:space="0" w:color="auto"/>
        <w:right w:val="none" w:sz="0" w:space="0" w:color="auto"/>
      </w:divBdr>
    </w:div>
    <w:div w:id="943918932">
      <w:bodyDiv w:val="1"/>
      <w:marLeft w:val="0"/>
      <w:marRight w:val="0"/>
      <w:marTop w:val="0"/>
      <w:marBottom w:val="0"/>
      <w:divBdr>
        <w:top w:val="none" w:sz="0" w:space="0" w:color="auto"/>
        <w:left w:val="none" w:sz="0" w:space="0" w:color="auto"/>
        <w:bottom w:val="none" w:sz="0" w:space="0" w:color="auto"/>
        <w:right w:val="none" w:sz="0" w:space="0" w:color="auto"/>
      </w:divBdr>
    </w:div>
    <w:div w:id="949703782">
      <w:bodyDiv w:val="1"/>
      <w:marLeft w:val="0"/>
      <w:marRight w:val="0"/>
      <w:marTop w:val="0"/>
      <w:marBottom w:val="0"/>
      <w:divBdr>
        <w:top w:val="none" w:sz="0" w:space="0" w:color="auto"/>
        <w:left w:val="none" w:sz="0" w:space="0" w:color="auto"/>
        <w:bottom w:val="none" w:sz="0" w:space="0" w:color="auto"/>
        <w:right w:val="none" w:sz="0" w:space="0" w:color="auto"/>
      </w:divBdr>
    </w:div>
    <w:div w:id="989945980">
      <w:bodyDiv w:val="1"/>
      <w:marLeft w:val="0"/>
      <w:marRight w:val="0"/>
      <w:marTop w:val="0"/>
      <w:marBottom w:val="0"/>
      <w:divBdr>
        <w:top w:val="none" w:sz="0" w:space="0" w:color="auto"/>
        <w:left w:val="none" w:sz="0" w:space="0" w:color="auto"/>
        <w:bottom w:val="none" w:sz="0" w:space="0" w:color="auto"/>
        <w:right w:val="none" w:sz="0" w:space="0" w:color="auto"/>
      </w:divBdr>
    </w:div>
    <w:div w:id="1112281638">
      <w:bodyDiv w:val="1"/>
      <w:marLeft w:val="0"/>
      <w:marRight w:val="0"/>
      <w:marTop w:val="0"/>
      <w:marBottom w:val="0"/>
      <w:divBdr>
        <w:top w:val="none" w:sz="0" w:space="0" w:color="auto"/>
        <w:left w:val="none" w:sz="0" w:space="0" w:color="auto"/>
        <w:bottom w:val="none" w:sz="0" w:space="0" w:color="auto"/>
        <w:right w:val="none" w:sz="0" w:space="0" w:color="auto"/>
      </w:divBdr>
    </w:div>
    <w:div w:id="1124810530">
      <w:bodyDiv w:val="1"/>
      <w:marLeft w:val="0"/>
      <w:marRight w:val="0"/>
      <w:marTop w:val="0"/>
      <w:marBottom w:val="0"/>
      <w:divBdr>
        <w:top w:val="none" w:sz="0" w:space="0" w:color="auto"/>
        <w:left w:val="none" w:sz="0" w:space="0" w:color="auto"/>
        <w:bottom w:val="none" w:sz="0" w:space="0" w:color="auto"/>
        <w:right w:val="none" w:sz="0" w:space="0" w:color="auto"/>
      </w:divBdr>
    </w:div>
    <w:div w:id="1159620033">
      <w:bodyDiv w:val="1"/>
      <w:marLeft w:val="0"/>
      <w:marRight w:val="0"/>
      <w:marTop w:val="0"/>
      <w:marBottom w:val="0"/>
      <w:divBdr>
        <w:top w:val="none" w:sz="0" w:space="0" w:color="auto"/>
        <w:left w:val="none" w:sz="0" w:space="0" w:color="auto"/>
        <w:bottom w:val="none" w:sz="0" w:space="0" w:color="auto"/>
        <w:right w:val="none" w:sz="0" w:space="0" w:color="auto"/>
      </w:divBdr>
    </w:div>
    <w:div w:id="1300039941">
      <w:bodyDiv w:val="1"/>
      <w:marLeft w:val="0"/>
      <w:marRight w:val="0"/>
      <w:marTop w:val="0"/>
      <w:marBottom w:val="0"/>
      <w:divBdr>
        <w:top w:val="none" w:sz="0" w:space="0" w:color="auto"/>
        <w:left w:val="none" w:sz="0" w:space="0" w:color="auto"/>
        <w:bottom w:val="none" w:sz="0" w:space="0" w:color="auto"/>
        <w:right w:val="none" w:sz="0" w:space="0" w:color="auto"/>
      </w:divBdr>
    </w:div>
    <w:div w:id="1372342593">
      <w:bodyDiv w:val="1"/>
      <w:marLeft w:val="0"/>
      <w:marRight w:val="0"/>
      <w:marTop w:val="0"/>
      <w:marBottom w:val="0"/>
      <w:divBdr>
        <w:top w:val="none" w:sz="0" w:space="0" w:color="auto"/>
        <w:left w:val="none" w:sz="0" w:space="0" w:color="auto"/>
        <w:bottom w:val="none" w:sz="0" w:space="0" w:color="auto"/>
        <w:right w:val="none" w:sz="0" w:space="0" w:color="auto"/>
      </w:divBdr>
    </w:div>
    <w:div w:id="1430807905">
      <w:bodyDiv w:val="1"/>
      <w:marLeft w:val="0"/>
      <w:marRight w:val="0"/>
      <w:marTop w:val="0"/>
      <w:marBottom w:val="0"/>
      <w:divBdr>
        <w:top w:val="none" w:sz="0" w:space="0" w:color="auto"/>
        <w:left w:val="none" w:sz="0" w:space="0" w:color="auto"/>
        <w:bottom w:val="none" w:sz="0" w:space="0" w:color="auto"/>
        <w:right w:val="none" w:sz="0" w:space="0" w:color="auto"/>
      </w:divBdr>
    </w:div>
    <w:div w:id="1510294970">
      <w:bodyDiv w:val="1"/>
      <w:marLeft w:val="0"/>
      <w:marRight w:val="0"/>
      <w:marTop w:val="0"/>
      <w:marBottom w:val="0"/>
      <w:divBdr>
        <w:top w:val="none" w:sz="0" w:space="0" w:color="auto"/>
        <w:left w:val="none" w:sz="0" w:space="0" w:color="auto"/>
        <w:bottom w:val="none" w:sz="0" w:space="0" w:color="auto"/>
        <w:right w:val="none" w:sz="0" w:space="0" w:color="auto"/>
      </w:divBdr>
    </w:div>
    <w:div w:id="1557085137">
      <w:bodyDiv w:val="1"/>
      <w:marLeft w:val="0"/>
      <w:marRight w:val="0"/>
      <w:marTop w:val="0"/>
      <w:marBottom w:val="0"/>
      <w:divBdr>
        <w:top w:val="none" w:sz="0" w:space="0" w:color="auto"/>
        <w:left w:val="none" w:sz="0" w:space="0" w:color="auto"/>
        <w:bottom w:val="none" w:sz="0" w:space="0" w:color="auto"/>
        <w:right w:val="none" w:sz="0" w:space="0" w:color="auto"/>
      </w:divBdr>
    </w:div>
    <w:div w:id="1607302329">
      <w:bodyDiv w:val="1"/>
      <w:marLeft w:val="0"/>
      <w:marRight w:val="0"/>
      <w:marTop w:val="0"/>
      <w:marBottom w:val="0"/>
      <w:divBdr>
        <w:top w:val="none" w:sz="0" w:space="0" w:color="auto"/>
        <w:left w:val="none" w:sz="0" w:space="0" w:color="auto"/>
        <w:bottom w:val="none" w:sz="0" w:space="0" w:color="auto"/>
        <w:right w:val="none" w:sz="0" w:space="0" w:color="auto"/>
      </w:divBdr>
    </w:div>
    <w:div w:id="1760298087">
      <w:bodyDiv w:val="1"/>
      <w:marLeft w:val="0"/>
      <w:marRight w:val="0"/>
      <w:marTop w:val="0"/>
      <w:marBottom w:val="0"/>
      <w:divBdr>
        <w:top w:val="none" w:sz="0" w:space="0" w:color="auto"/>
        <w:left w:val="none" w:sz="0" w:space="0" w:color="auto"/>
        <w:bottom w:val="none" w:sz="0" w:space="0" w:color="auto"/>
        <w:right w:val="none" w:sz="0" w:space="0" w:color="auto"/>
      </w:divBdr>
    </w:div>
    <w:div w:id="1793136984">
      <w:bodyDiv w:val="1"/>
      <w:marLeft w:val="0"/>
      <w:marRight w:val="0"/>
      <w:marTop w:val="0"/>
      <w:marBottom w:val="0"/>
      <w:divBdr>
        <w:top w:val="none" w:sz="0" w:space="0" w:color="auto"/>
        <w:left w:val="none" w:sz="0" w:space="0" w:color="auto"/>
        <w:bottom w:val="none" w:sz="0" w:space="0" w:color="auto"/>
        <w:right w:val="none" w:sz="0" w:space="0" w:color="auto"/>
      </w:divBdr>
    </w:div>
    <w:div w:id="1872187821">
      <w:bodyDiv w:val="1"/>
      <w:marLeft w:val="0"/>
      <w:marRight w:val="0"/>
      <w:marTop w:val="0"/>
      <w:marBottom w:val="0"/>
      <w:divBdr>
        <w:top w:val="none" w:sz="0" w:space="0" w:color="auto"/>
        <w:left w:val="none" w:sz="0" w:space="0" w:color="auto"/>
        <w:bottom w:val="none" w:sz="0" w:space="0" w:color="auto"/>
        <w:right w:val="none" w:sz="0" w:space="0" w:color="auto"/>
      </w:divBdr>
    </w:div>
    <w:div w:id="1884443145">
      <w:bodyDiv w:val="1"/>
      <w:marLeft w:val="0"/>
      <w:marRight w:val="0"/>
      <w:marTop w:val="0"/>
      <w:marBottom w:val="0"/>
      <w:divBdr>
        <w:top w:val="none" w:sz="0" w:space="0" w:color="auto"/>
        <w:left w:val="none" w:sz="0" w:space="0" w:color="auto"/>
        <w:bottom w:val="none" w:sz="0" w:space="0" w:color="auto"/>
        <w:right w:val="none" w:sz="0" w:space="0" w:color="auto"/>
      </w:divBdr>
    </w:div>
    <w:div w:id="1894846122">
      <w:bodyDiv w:val="1"/>
      <w:marLeft w:val="0"/>
      <w:marRight w:val="0"/>
      <w:marTop w:val="0"/>
      <w:marBottom w:val="0"/>
      <w:divBdr>
        <w:top w:val="none" w:sz="0" w:space="0" w:color="auto"/>
        <w:left w:val="none" w:sz="0" w:space="0" w:color="auto"/>
        <w:bottom w:val="none" w:sz="0" w:space="0" w:color="auto"/>
        <w:right w:val="none" w:sz="0" w:space="0" w:color="auto"/>
      </w:divBdr>
    </w:div>
    <w:div w:id="1905217608">
      <w:bodyDiv w:val="1"/>
      <w:marLeft w:val="0"/>
      <w:marRight w:val="0"/>
      <w:marTop w:val="0"/>
      <w:marBottom w:val="0"/>
      <w:divBdr>
        <w:top w:val="none" w:sz="0" w:space="0" w:color="auto"/>
        <w:left w:val="none" w:sz="0" w:space="0" w:color="auto"/>
        <w:bottom w:val="none" w:sz="0" w:space="0" w:color="auto"/>
        <w:right w:val="none" w:sz="0" w:space="0" w:color="auto"/>
      </w:divBdr>
    </w:div>
    <w:div w:id="2060663099">
      <w:bodyDiv w:val="1"/>
      <w:marLeft w:val="0"/>
      <w:marRight w:val="0"/>
      <w:marTop w:val="0"/>
      <w:marBottom w:val="0"/>
      <w:divBdr>
        <w:top w:val="none" w:sz="0" w:space="0" w:color="auto"/>
        <w:left w:val="none" w:sz="0" w:space="0" w:color="auto"/>
        <w:bottom w:val="none" w:sz="0" w:space="0" w:color="auto"/>
        <w:right w:val="none" w:sz="0" w:space="0" w:color="auto"/>
      </w:divBdr>
    </w:div>
    <w:div w:id="2060741820">
      <w:bodyDiv w:val="1"/>
      <w:marLeft w:val="0"/>
      <w:marRight w:val="0"/>
      <w:marTop w:val="0"/>
      <w:marBottom w:val="0"/>
      <w:divBdr>
        <w:top w:val="none" w:sz="0" w:space="0" w:color="auto"/>
        <w:left w:val="none" w:sz="0" w:space="0" w:color="auto"/>
        <w:bottom w:val="none" w:sz="0" w:space="0" w:color="auto"/>
        <w:right w:val="none" w:sz="0" w:space="0" w:color="auto"/>
      </w:divBdr>
    </w:div>
    <w:div w:id="2070760245">
      <w:bodyDiv w:val="1"/>
      <w:marLeft w:val="0"/>
      <w:marRight w:val="0"/>
      <w:marTop w:val="0"/>
      <w:marBottom w:val="0"/>
      <w:divBdr>
        <w:top w:val="none" w:sz="0" w:space="0" w:color="auto"/>
        <w:left w:val="none" w:sz="0" w:space="0" w:color="auto"/>
        <w:bottom w:val="none" w:sz="0" w:space="0" w:color="auto"/>
        <w:right w:val="none" w:sz="0" w:space="0" w:color="auto"/>
      </w:divBdr>
    </w:div>
    <w:div w:id="212488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3DA07FE0A804A811901A99FC85F6D" ma:contentTypeVersion="0" ma:contentTypeDescription="Create a new document." ma:contentTypeScope="" ma:versionID="a52ac5457e09db2c28c0f341a7feb6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A68E6-9B44-475B-82F8-D36197EE9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D6E9E9-4445-40DC-A903-4D81D62A55CB}">
  <ds:schemaRefs>
    <ds:schemaRef ds:uri="http://schemas.microsoft.com/sharepoint/v3/contenttype/forms"/>
  </ds:schemaRefs>
</ds:datastoreItem>
</file>

<file path=customXml/itemProps3.xml><?xml version="1.0" encoding="utf-8"?>
<ds:datastoreItem xmlns:ds="http://schemas.openxmlformats.org/officeDocument/2006/customXml" ds:itemID="{0A0EDFAE-BCCC-4D55-BC38-B8AE2CFC47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888</Words>
  <Characters>5063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 - DOARI Comments Responses Document</vt:lpstr>
      <vt:lpstr>EASA Report Template</vt:lpstr>
    </vt:vector>
  </TitlesOfParts>
  <Company>EASA</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 DOARI Comments Responses Document</dc:title>
  <dc:subject/>
  <dc:creator>EASA</dc:creator>
  <cp:keywords/>
  <dc:description/>
  <cp:lastModifiedBy>KARVOUNIS Charalampos</cp:lastModifiedBy>
  <cp:revision>3</cp:revision>
  <cp:lastPrinted>2017-02-03T11:03:00Z</cp:lastPrinted>
  <dcterms:created xsi:type="dcterms:W3CDTF">2022-07-12T11:27:00Z</dcterms:created>
  <dcterms:modified xsi:type="dcterms:W3CDTF">2023-06-12T08:14:00Z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y fmtid="{D5CDD505-2E9C-101B-9397-08002B2CF9AE}" pid="15" name="ContentTypeId">
    <vt:lpwstr>0x010100BFE3DA07FE0A804A811901A99FC85F6D</vt:lpwstr>
  </property>
  <property fmtid="{D5CDD505-2E9C-101B-9397-08002B2CF9AE}" pid="16" name="_dlc_DocIdItemGuid">
    <vt:lpwstr>5d379434-48f0-46d3-b1ec-a5136f1c17c8</vt:lpwstr>
  </property>
  <property fmtid="{D5CDD505-2E9C-101B-9397-08002B2CF9AE}" pid="17" name="IMF_C0_Taxonomy">
    <vt:lpwstr>18;#Quality management|98155c21-be43-4aae-96d5-e4bc945720de</vt:lpwstr>
  </property>
  <property fmtid="{D5CDD505-2E9C-101B-9397-08002B2CF9AE}" pid="18" name="TaxKeyword">
    <vt:lpwstr/>
  </property>
  <property fmtid="{D5CDD505-2E9C-101B-9397-08002B2CF9AE}" pid="19" name="IMSAcronym">
    <vt:lpwstr>105;#DOA|a50e1f38-3f76-4cd5-a4e8-9f16b9978fe1</vt:lpwstr>
  </property>
  <property fmtid="{D5CDD505-2E9C-101B-9397-08002B2CF9AE}" pid="20" name="IMF_C0_Source">
    <vt:lpwstr>1;#EASA|f2fd8376-381c-4ede-a9cd-0a84d06f4d45</vt:lpwstr>
  </property>
  <property fmtid="{D5CDD505-2E9C-101B-9397-08002B2CF9AE}" pid="21" name="IMSProcessTaxonomy">
    <vt:lpwstr>5;#Design organisation approval|8f901dd6-9f9d-4b62-9704-a08fd56ebac0</vt:lpwstr>
  </property>
  <property fmtid="{D5CDD505-2E9C-101B-9397-08002B2CF9AE}" pid="22" name="Order">
    <vt:r8>82100</vt:r8>
  </property>
  <property fmtid="{D5CDD505-2E9C-101B-9397-08002B2CF9AE}" pid="23" name="xd_ProgID">
    <vt:lpwstr/>
  </property>
  <property fmtid="{D5CDD505-2E9C-101B-9397-08002B2CF9AE}" pid="24" name="TemplateUrl">
    <vt:lpwstr/>
  </property>
  <property fmtid="{D5CDD505-2E9C-101B-9397-08002B2CF9AE}" pid="25" name="_CopySource">
    <vt:lpwstr>https://imf.easa.europa.eu/case/IMS/IMSQdocsdesign/TE.DOA.00858.docx</vt:lpwstr>
  </property>
</Properties>
</file>