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page" w:tblpX="9374" w:tblpY="20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540"/>
      </w:tblGrid>
      <w:tr w:rsidR="00451899" w:rsidRPr="00202D35" w:rsidTr="00451899">
        <w:tc>
          <w:tcPr>
            <w:tcW w:w="1530" w:type="dxa"/>
            <w:gridSpan w:val="2"/>
            <w:shd w:val="clear" w:color="auto" w:fill="auto"/>
          </w:tcPr>
          <w:p w:rsidR="00451899" w:rsidRPr="00202D35" w:rsidRDefault="00451899" w:rsidP="00451899">
            <w:pPr>
              <w:jc w:val="center"/>
              <w:rPr>
                <w:szCs w:val="24"/>
                <w:lang w:val="en-US"/>
              </w:rPr>
            </w:pPr>
            <w:r w:rsidRPr="00202D35">
              <w:rPr>
                <w:szCs w:val="24"/>
                <w:lang w:val="en-US"/>
              </w:rPr>
              <w:t>Applies To:</w:t>
            </w:r>
          </w:p>
        </w:tc>
      </w:tr>
      <w:tr w:rsidR="00451899" w:rsidRPr="00202D35" w:rsidTr="00451899">
        <w:tc>
          <w:tcPr>
            <w:tcW w:w="990" w:type="dxa"/>
            <w:shd w:val="clear" w:color="auto" w:fill="auto"/>
          </w:tcPr>
          <w:p w:rsidR="00451899" w:rsidRPr="00202D35" w:rsidRDefault="00451899" w:rsidP="00451899">
            <w:pPr>
              <w:jc w:val="right"/>
              <w:rPr>
                <w:szCs w:val="24"/>
                <w:lang w:val="en-US"/>
              </w:rPr>
            </w:pPr>
            <w:proofErr w:type="spellStart"/>
            <w:r w:rsidRPr="00202D35">
              <w:rPr>
                <w:szCs w:val="24"/>
                <w:lang w:val="en-US"/>
              </w:rPr>
              <w:t>Vol</w:t>
            </w:r>
            <w:proofErr w:type="spellEnd"/>
            <w:r w:rsidRPr="00202D35">
              <w:rPr>
                <w:szCs w:val="24"/>
                <w:lang w:val="en-US"/>
              </w:rPr>
              <w:t xml:space="preserve"> 1:</w:t>
            </w:r>
          </w:p>
        </w:tc>
        <w:tc>
          <w:tcPr>
            <w:tcW w:w="540" w:type="dxa"/>
            <w:shd w:val="clear" w:color="auto" w:fill="auto"/>
          </w:tcPr>
          <w:p w:rsidR="00451899" w:rsidRPr="00202D35" w:rsidRDefault="00451899" w:rsidP="00451899">
            <w:pPr>
              <w:rPr>
                <w:szCs w:val="24"/>
                <w:lang w:val="en-US"/>
              </w:rPr>
            </w:pPr>
          </w:p>
        </w:tc>
      </w:tr>
      <w:tr w:rsidR="00451899" w:rsidRPr="00202D35" w:rsidTr="00451899">
        <w:tc>
          <w:tcPr>
            <w:tcW w:w="990" w:type="dxa"/>
            <w:shd w:val="clear" w:color="auto" w:fill="auto"/>
          </w:tcPr>
          <w:p w:rsidR="00451899" w:rsidRPr="00202D35" w:rsidRDefault="00451899" w:rsidP="00451899">
            <w:pPr>
              <w:jc w:val="right"/>
              <w:rPr>
                <w:szCs w:val="24"/>
                <w:lang w:val="en-US"/>
              </w:rPr>
            </w:pPr>
            <w:proofErr w:type="spellStart"/>
            <w:r w:rsidRPr="00202D35">
              <w:rPr>
                <w:szCs w:val="24"/>
                <w:lang w:val="en-US"/>
              </w:rPr>
              <w:t>Vol</w:t>
            </w:r>
            <w:proofErr w:type="spellEnd"/>
            <w:r w:rsidRPr="00202D35">
              <w:rPr>
                <w:szCs w:val="24"/>
                <w:lang w:val="en-US"/>
              </w:rPr>
              <w:t xml:space="preserve"> 2:</w:t>
            </w:r>
          </w:p>
        </w:tc>
        <w:tc>
          <w:tcPr>
            <w:tcW w:w="540" w:type="dxa"/>
            <w:shd w:val="clear" w:color="auto" w:fill="auto"/>
          </w:tcPr>
          <w:p w:rsidR="00451899" w:rsidRPr="00202D35" w:rsidRDefault="00451899" w:rsidP="00451899">
            <w:pPr>
              <w:rPr>
                <w:szCs w:val="24"/>
                <w:lang w:val="en-US"/>
              </w:rPr>
            </w:pPr>
          </w:p>
        </w:tc>
      </w:tr>
      <w:tr w:rsidR="00451899" w:rsidRPr="00202D35" w:rsidTr="00451899">
        <w:tc>
          <w:tcPr>
            <w:tcW w:w="990" w:type="dxa"/>
            <w:shd w:val="clear" w:color="auto" w:fill="auto"/>
          </w:tcPr>
          <w:p w:rsidR="00451899" w:rsidRPr="00202D35" w:rsidRDefault="00451899" w:rsidP="00451899">
            <w:pPr>
              <w:jc w:val="right"/>
              <w:rPr>
                <w:szCs w:val="24"/>
                <w:lang w:val="en-US"/>
              </w:rPr>
            </w:pPr>
            <w:r w:rsidRPr="00202D35">
              <w:rPr>
                <w:szCs w:val="24"/>
                <w:lang w:val="en-US"/>
              </w:rPr>
              <w:t>Both:</w:t>
            </w:r>
          </w:p>
        </w:tc>
        <w:tc>
          <w:tcPr>
            <w:tcW w:w="540" w:type="dxa"/>
            <w:shd w:val="clear" w:color="auto" w:fill="auto"/>
          </w:tcPr>
          <w:p w:rsidR="00451899" w:rsidRPr="00202D35" w:rsidRDefault="00451899" w:rsidP="00451899">
            <w:pPr>
              <w:rPr>
                <w:szCs w:val="24"/>
                <w:lang w:val="en-US"/>
              </w:rPr>
            </w:pPr>
            <w:r w:rsidRPr="009D11C7">
              <w:rPr>
                <w:szCs w:val="24"/>
                <w:lang w:val="en-US"/>
              </w:rPr>
              <w:t>X</w:t>
            </w:r>
          </w:p>
        </w:tc>
      </w:tr>
    </w:tbl>
    <w:p w:rsidR="00527F88" w:rsidRPr="008D4A27" w:rsidRDefault="00527F88" w:rsidP="00DD7C82">
      <w:pPr>
        <w:pStyle w:val="Header"/>
        <w:tabs>
          <w:tab w:val="clear" w:pos="4320"/>
          <w:tab w:val="clear" w:pos="8640"/>
        </w:tabs>
        <w:jc w:val="both"/>
      </w:pPr>
    </w:p>
    <w:p w:rsidR="00451899" w:rsidRPr="00A931FC" w:rsidRDefault="00527F88" w:rsidP="00A931FC">
      <w:pPr>
        <w:rPr>
          <w:lang w:val="en-US"/>
        </w:rPr>
      </w:pPr>
      <w:r w:rsidRPr="008D4A27">
        <w:rPr>
          <w:b/>
          <w:lang w:val="en-US"/>
        </w:rPr>
        <w:t>Title:</w:t>
      </w:r>
      <w:r w:rsidR="00303E0A">
        <w:rPr>
          <w:lang w:val="en-US"/>
        </w:rPr>
        <w:t xml:space="preserve"> </w:t>
      </w:r>
      <w:r w:rsidR="00A931FC" w:rsidRPr="00A931FC">
        <w:rPr>
          <w:lang w:val="en-US"/>
        </w:rPr>
        <w:t>Consistency between current Zonal Analysis and 2013 L/HIRF Analysis procedures</w:t>
      </w:r>
    </w:p>
    <w:p w:rsidR="00766C76" w:rsidRPr="00A931FC" w:rsidRDefault="00766C76" w:rsidP="00A931FC">
      <w:pPr>
        <w:rPr>
          <w:lang w:val="en-US"/>
        </w:rPr>
      </w:pPr>
    </w:p>
    <w:p w:rsidR="00527F88" w:rsidRPr="008D4A27" w:rsidRDefault="00527F88" w:rsidP="00DD7C82">
      <w:pPr>
        <w:tabs>
          <w:tab w:val="left" w:pos="1701"/>
        </w:tabs>
        <w:ind w:left="1701" w:hanging="1701"/>
        <w:jc w:val="both"/>
        <w:rPr>
          <w:lang w:val="en-US"/>
        </w:rPr>
      </w:pPr>
      <w:r w:rsidRPr="008D4A27">
        <w:rPr>
          <w:b/>
          <w:lang w:val="en-US"/>
        </w:rPr>
        <w:t xml:space="preserve">Submitter: </w:t>
      </w:r>
      <w:r w:rsidR="007C7F6E">
        <w:rPr>
          <w:b/>
          <w:lang w:val="en-US"/>
        </w:rPr>
        <w:t xml:space="preserve">EMBRAER S.A </w:t>
      </w:r>
    </w:p>
    <w:p w:rsidR="00EB5822" w:rsidRPr="008D4A27" w:rsidRDefault="00EB5822" w:rsidP="00DD7C82">
      <w:pPr>
        <w:tabs>
          <w:tab w:val="left" w:pos="1701"/>
        </w:tabs>
        <w:jc w:val="both"/>
        <w:rPr>
          <w:lang w:val="en-US"/>
        </w:rPr>
      </w:pPr>
    </w:p>
    <w:p w:rsidR="008D4A27" w:rsidRPr="008D4A27" w:rsidRDefault="00527F88" w:rsidP="00DD7C82">
      <w:pPr>
        <w:spacing w:after="240"/>
        <w:jc w:val="both"/>
        <w:rPr>
          <w:lang w:val="en-US"/>
        </w:rPr>
      </w:pPr>
      <w:r w:rsidRPr="008D4A27">
        <w:rPr>
          <w:b/>
        </w:rPr>
        <w:t xml:space="preserve">Issue:  </w:t>
      </w:r>
      <w:r w:rsidR="00CB2530">
        <w:t xml:space="preserve">In current </w:t>
      </w:r>
      <w:proofErr w:type="spellStart"/>
      <w:r w:rsidR="008C4342" w:rsidRPr="008D4A27">
        <w:t>Zonal</w:t>
      </w:r>
      <w:proofErr w:type="spellEnd"/>
      <w:r w:rsidR="008C4342" w:rsidRPr="008D4A27">
        <w:t xml:space="preserve"> Analysis </w:t>
      </w:r>
      <w:r w:rsidR="00E44203">
        <w:t>Procedure section</w:t>
      </w:r>
      <w:bookmarkStart w:id="0" w:name="_GoBack"/>
      <w:bookmarkEnd w:id="0"/>
      <w:r w:rsidR="00CB2530">
        <w:t xml:space="preserve"> </w:t>
      </w:r>
      <w:r w:rsidR="008D4A27" w:rsidRPr="008D4A27">
        <w:rPr>
          <w:lang w:val="en-US"/>
        </w:rPr>
        <w:t>there is a</w:t>
      </w:r>
      <w:r w:rsidR="002D3DCD" w:rsidRPr="008D4A27">
        <w:rPr>
          <w:lang w:val="en-US"/>
        </w:rPr>
        <w:t xml:space="preserve"> </w:t>
      </w:r>
      <w:r w:rsidR="008D4A27" w:rsidRPr="008D4A27">
        <w:rPr>
          <w:lang w:val="en-US"/>
        </w:rPr>
        <w:t>specific paragraph related to Zonal Transfer Guidance of GVIs determined by L/HIRF analysis</w:t>
      </w:r>
      <w:r w:rsidR="00980BD2">
        <w:rPr>
          <w:lang w:val="en-US"/>
        </w:rPr>
        <w:t>:</w:t>
      </w:r>
    </w:p>
    <w:p w:rsidR="008D4A27" w:rsidRPr="008D4A27" w:rsidRDefault="008D4A27" w:rsidP="008D4A27">
      <w:pPr>
        <w:jc w:val="both"/>
        <w:rPr>
          <w:i/>
          <w:szCs w:val="24"/>
        </w:rPr>
      </w:pPr>
      <w:proofErr w:type="spellStart"/>
      <w:r w:rsidRPr="008D4A27">
        <w:rPr>
          <w:i/>
          <w:szCs w:val="24"/>
        </w:rPr>
        <w:t>Zonal</w:t>
      </w:r>
      <w:proofErr w:type="spellEnd"/>
      <w:r w:rsidRPr="008D4A27">
        <w:rPr>
          <w:i/>
          <w:szCs w:val="24"/>
        </w:rPr>
        <w:t xml:space="preserve"> Analysis Procedure </w:t>
      </w:r>
      <w:smartTag w:uri="urn:schemas-microsoft-com:office:smarttags" w:element="date">
        <w:smartTagPr>
          <w:attr w:name="Year" w:val="2001"/>
          <w:attr w:name="Day" w:val="2"/>
          <w:attr w:name="Month" w:val="5"/>
        </w:smartTagPr>
        <w:r w:rsidRPr="008D4A27">
          <w:rPr>
            <w:i/>
            <w:szCs w:val="24"/>
          </w:rPr>
          <w:t>2-5-1</w:t>
        </w:r>
      </w:smartTag>
      <w:r w:rsidRPr="008D4A27">
        <w:rPr>
          <w:i/>
          <w:szCs w:val="24"/>
        </w:rPr>
        <w:t xml:space="preserve"> (</w:t>
      </w:r>
      <w:proofErr w:type="spellStart"/>
      <w:r w:rsidRPr="008D4A27">
        <w:rPr>
          <w:i/>
          <w:szCs w:val="24"/>
        </w:rPr>
        <w:t>i</w:t>
      </w:r>
      <w:proofErr w:type="spellEnd"/>
      <w:r w:rsidRPr="008D4A27">
        <w:rPr>
          <w:i/>
          <w:szCs w:val="24"/>
        </w:rPr>
        <w:t>) (Page 69)</w:t>
      </w:r>
    </w:p>
    <w:p w:rsidR="008D4A27" w:rsidRPr="008D4A27" w:rsidRDefault="008D4A27" w:rsidP="008D4A27">
      <w:pPr>
        <w:jc w:val="both"/>
        <w:rPr>
          <w:i/>
          <w:szCs w:val="24"/>
        </w:rPr>
      </w:pPr>
    </w:p>
    <w:p w:rsidR="008D4A27" w:rsidRDefault="008D4A27" w:rsidP="008D4A27">
      <w:pPr>
        <w:jc w:val="both"/>
        <w:rPr>
          <w:i/>
          <w:szCs w:val="24"/>
        </w:rPr>
      </w:pPr>
      <w:r w:rsidRPr="008D4A27">
        <w:rPr>
          <w:i/>
          <w:szCs w:val="24"/>
        </w:rPr>
        <w:t xml:space="preserve">General Visual Inspections arising from the analysis of L/HIRF may </w:t>
      </w:r>
      <w:r w:rsidR="009E6254">
        <w:rPr>
          <w:i/>
          <w:szCs w:val="24"/>
        </w:rPr>
        <w:t xml:space="preserve">be </w:t>
      </w:r>
      <w:r w:rsidRPr="008D4A27">
        <w:rPr>
          <w:i/>
          <w:szCs w:val="24"/>
        </w:rPr>
        <w:t>compared with t</w:t>
      </w:r>
      <w:r w:rsidR="009E6254">
        <w:rPr>
          <w:i/>
          <w:szCs w:val="24"/>
        </w:rPr>
        <w:t xml:space="preserve">he </w:t>
      </w:r>
      <w:proofErr w:type="spellStart"/>
      <w:r w:rsidR="009E6254">
        <w:rPr>
          <w:i/>
          <w:szCs w:val="24"/>
        </w:rPr>
        <w:t>Zonal</w:t>
      </w:r>
      <w:proofErr w:type="spellEnd"/>
      <w:r w:rsidR="009E6254">
        <w:rPr>
          <w:i/>
          <w:szCs w:val="24"/>
        </w:rPr>
        <w:t xml:space="preserve"> Inspections determined</w:t>
      </w:r>
      <w:r w:rsidRPr="008D4A27">
        <w:rPr>
          <w:i/>
          <w:szCs w:val="24"/>
        </w:rPr>
        <w:t xml:space="preserve"> from the standard </w:t>
      </w:r>
      <w:proofErr w:type="spellStart"/>
      <w:r w:rsidRPr="008D4A27">
        <w:rPr>
          <w:i/>
          <w:szCs w:val="24"/>
        </w:rPr>
        <w:t>zonal</w:t>
      </w:r>
      <w:proofErr w:type="spellEnd"/>
      <w:r w:rsidRPr="008D4A27">
        <w:rPr>
          <w:i/>
          <w:szCs w:val="24"/>
        </w:rPr>
        <w:t xml:space="preserve"> analysis</w:t>
      </w:r>
      <w:r w:rsidR="00E44203">
        <w:rPr>
          <w:i/>
          <w:szCs w:val="24"/>
        </w:rPr>
        <w:t xml:space="preserve"> (paragraph d.)</w:t>
      </w:r>
      <w:r w:rsidRPr="008D4A27">
        <w:rPr>
          <w:i/>
          <w:szCs w:val="24"/>
        </w:rPr>
        <w:t xml:space="preserve">. These GVIs may be considered fully covered by the </w:t>
      </w:r>
      <w:proofErr w:type="spellStart"/>
      <w:r w:rsidRPr="008D4A27">
        <w:rPr>
          <w:i/>
          <w:szCs w:val="24"/>
        </w:rPr>
        <w:t>zonal</w:t>
      </w:r>
      <w:proofErr w:type="spellEnd"/>
      <w:r w:rsidRPr="008D4A27">
        <w:rPr>
          <w:i/>
          <w:szCs w:val="24"/>
        </w:rPr>
        <w:t xml:space="preserve"> inspection if the access requirement is the same and the proposed interval is at least as frequent. </w:t>
      </w:r>
      <w:r w:rsidR="009E6254">
        <w:rPr>
          <w:i/>
          <w:szCs w:val="24"/>
        </w:rPr>
        <w:t xml:space="preserve">Otherwise, a stand-alone GVI should be included within the Systems and </w:t>
      </w:r>
      <w:proofErr w:type="spellStart"/>
      <w:r w:rsidR="009E6254">
        <w:rPr>
          <w:i/>
          <w:szCs w:val="24"/>
        </w:rPr>
        <w:t>Powerplant</w:t>
      </w:r>
      <w:proofErr w:type="spellEnd"/>
      <w:r w:rsidR="009E6254">
        <w:rPr>
          <w:i/>
          <w:szCs w:val="24"/>
        </w:rPr>
        <w:t xml:space="preserve"> tasks as described in [Subject </w:t>
      </w:r>
      <w:smartTag w:uri="urn:schemas-microsoft-com:office:smarttags" w:element="date">
        <w:smartTagPr>
          <w:attr w:name="Month" w:val="6"/>
          <w:attr w:name="Day" w:val="2"/>
          <w:attr w:name="Year" w:val="2001"/>
        </w:smartTagPr>
        <w:r w:rsidR="009E6254">
          <w:rPr>
            <w:i/>
            <w:szCs w:val="24"/>
          </w:rPr>
          <w:t>2-6-1</w:t>
        </w:r>
      </w:smartTag>
      <w:r w:rsidR="009E6254">
        <w:rPr>
          <w:i/>
          <w:szCs w:val="24"/>
        </w:rPr>
        <w:t>].</w:t>
      </w:r>
    </w:p>
    <w:p w:rsidR="00EB5822" w:rsidRPr="008D4A27" w:rsidRDefault="00EB5822" w:rsidP="008D4A27">
      <w:pPr>
        <w:jc w:val="both"/>
        <w:rPr>
          <w:i/>
          <w:szCs w:val="24"/>
        </w:rPr>
      </w:pPr>
    </w:p>
    <w:p w:rsidR="002A07B5" w:rsidRDefault="00527F88" w:rsidP="00DD7C82">
      <w:pPr>
        <w:jc w:val="both"/>
        <w:rPr>
          <w:szCs w:val="24"/>
        </w:rPr>
      </w:pPr>
      <w:r>
        <w:rPr>
          <w:b/>
        </w:rPr>
        <w:t>Problem:</w:t>
      </w:r>
      <w:r>
        <w:t>.</w:t>
      </w:r>
      <w:r w:rsidR="007374D2" w:rsidRPr="007374D2">
        <w:rPr>
          <w:color w:val="0000FF"/>
          <w:szCs w:val="24"/>
        </w:rPr>
        <w:t xml:space="preserve"> </w:t>
      </w:r>
      <w:r w:rsidR="004C3942" w:rsidRPr="004C3942">
        <w:rPr>
          <w:szCs w:val="24"/>
        </w:rPr>
        <w:t>Acc</w:t>
      </w:r>
      <w:r w:rsidR="00137ED8" w:rsidRPr="004C3942">
        <w:rPr>
          <w:szCs w:val="24"/>
        </w:rPr>
        <w:t>ording the new</w:t>
      </w:r>
      <w:r w:rsidR="00CB2530" w:rsidRPr="00CB2530">
        <w:rPr>
          <w:szCs w:val="24"/>
        </w:rPr>
        <w:t xml:space="preserve"> L/HIRF sectio</w:t>
      </w:r>
      <w:r w:rsidR="00137ED8">
        <w:rPr>
          <w:szCs w:val="24"/>
        </w:rPr>
        <w:t>n incorporated at Revision 2013,</w:t>
      </w:r>
      <w:r w:rsidR="008D4A27" w:rsidRPr="00CB2530">
        <w:rPr>
          <w:szCs w:val="24"/>
        </w:rPr>
        <w:t xml:space="preserve"> </w:t>
      </w:r>
      <w:r w:rsidR="009E6254">
        <w:rPr>
          <w:szCs w:val="24"/>
        </w:rPr>
        <w:t xml:space="preserve">the </w:t>
      </w:r>
      <w:r w:rsidR="008D4A27" w:rsidRPr="00CB2530">
        <w:rPr>
          <w:szCs w:val="24"/>
        </w:rPr>
        <w:t xml:space="preserve">logic </w:t>
      </w:r>
      <w:r w:rsidR="009E6254">
        <w:rPr>
          <w:szCs w:val="24"/>
        </w:rPr>
        <w:t xml:space="preserve">analysis </w:t>
      </w:r>
      <w:r w:rsidR="002A07B5">
        <w:rPr>
          <w:szCs w:val="24"/>
        </w:rPr>
        <w:t>does not create a GVI to be transferred and accepted</w:t>
      </w:r>
      <w:r w:rsidR="00721EE9">
        <w:rPr>
          <w:szCs w:val="24"/>
        </w:rPr>
        <w:t xml:space="preserve"> (or not) </w:t>
      </w:r>
      <w:r w:rsidR="002A07B5">
        <w:rPr>
          <w:szCs w:val="24"/>
        </w:rPr>
        <w:t xml:space="preserve">by </w:t>
      </w:r>
      <w:r w:rsidR="00721EE9">
        <w:rPr>
          <w:szCs w:val="24"/>
        </w:rPr>
        <w:t xml:space="preserve">the </w:t>
      </w:r>
      <w:proofErr w:type="spellStart"/>
      <w:r w:rsidR="002A07B5">
        <w:rPr>
          <w:szCs w:val="24"/>
        </w:rPr>
        <w:t>Zonal</w:t>
      </w:r>
      <w:proofErr w:type="spellEnd"/>
      <w:r w:rsidR="002A07B5">
        <w:rPr>
          <w:szCs w:val="24"/>
        </w:rPr>
        <w:t xml:space="preserve"> Program</w:t>
      </w:r>
      <w:r w:rsidR="00721EE9">
        <w:rPr>
          <w:szCs w:val="24"/>
        </w:rPr>
        <w:t>.</w:t>
      </w:r>
    </w:p>
    <w:p w:rsidR="002A07B5" w:rsidRDefault="002A07B5" w:rsidP="00DD7C82">
      <w:pPr>
        <w:jc w:val="both"/>
        <w:rPr>
          <w:szCs w:val="24"/>
        </w:rPr>
      </w:pPr>
    </w:p>
    <w:p w:rsidR="002A07B5" w:rsidRDefault="00137ED8" w:rsidP="00DD7C82">
      <w:pPr>
        <w:jc w:val="both"/>
        <w:rPr>
          <w:szCs w:val="24"/>
        </w:rPr>
      </w:pPr>
      <w:r>
        <w:rPr>
          <w:szCs w:val="24"/>
        </w:rPr>
        <w:t>During degradation assessment step, (in case there is potential degradation) the logic only investigates wheth</w:t>
      </w:r>
      <w:r w:rsidR="00A931FC">
        <w:rPr>
          <w:szCs w:val="24"/>
        </w:rPr>
        <w:t>er the item is detectable by a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Zonal</w:t>
      </w:r>
      <w:proofErr w:type="spellEnd"/>
      <w:r>
        <w:rPr>
          <w:szCs w:val="24"/>
        </w:rPr>
        <w:t xml:space="preserve"> Inspection</w:t>
      </w:r>
      <w:r w:rsidR="00A931FC">
        <w:rPr>
          <w:szCs w:val="24"/>
        </w:rPr>
        <w:t xml:space="preserve"> or not. If </w:t>
      </w:r>
      <w:r w:rsidR="00FC7C43">
        <w:rPr>
          <w:szCs w:val="24"/>
        </w:rPr>
        <w:t xml:space="preserve">a </w:t>
      </w:r>
      <w:proofErr w:type="spellStart"/>
      <w:r w:rsidR="00A931FC">
        <w:rPr>
          <w:szCs w:val="24"/>
        </w:rPr>
        <w:t>Zonal</w:t>
      </w:r>
      <w:proofErr w:type="spellEnd"/>
      <w:r w:rsidR="00A931FC">
        <w:rPr>
          <w:szCs w:val="24"/>
        </w:rPr>
        <w:t xml:space="preserve"> Inspection properly detects the degradation</w:t>
      </w:r>
      <w:r>
        <w:rPr>
          <w:szCs w:val="24"/>
        </w:rPr>
        <w:t>, no dedicated L/</w:t>
      </w:r>
      <w:r w:rsidR="00721EE9">
        <w:rPr>
          <w:szCs w:val="24"/>
        </w:rPr>
        <w:t>HIRF task is required (</w:t>
      </w:r>
      <w:proofErr w:type="spellStart"/>
      <w:r w:rsidR="00721EE9">
        <w:rPr>
          <w:szCs w:val="24"/>
        </w:rPr>
        <w:t>Zonal</w:t>
      </w:r>
      <w:proofErr w:type="spellEnd"/>
      <w:r w:rsidR="00721EE9">
        <w:rPr>
          <w:szCs w:val="24"/>
        </w:rPr>
        <w:t xml:space="preserve"> program </w:t>
      </w:r>
      <w:r w:rsidR="00A931FC">
        <w:rPr>
          <w:szCs w:val="24"/>
        </w:rPr>
        <w:t>is enough</w:t>
      </w:r>
      <w:r>
        <w:rPr>
          <w:szCs w:val="24"/>
        </w:rPr>
        <w:t xml:space="preserve"> to inspect the component)</w:t>
      </w:r>
      <w:r w:rsidR="00721EE9">
        <w:rPr>
          <w:szCs w:val="24"/>
        </w:rPr>
        <w:t>.</w:t>
      </w:r>
    </w:p>
    <w:p w:rsidR="008D4A27" w:rsidRDefault="008D4A27" w:rsidP="00DD7C82">
      <w:pPr>
        <w:jc w:val="both"/>
        <w:rPr>
          <w:color w:val="0000FF"/>
          <w:szCs w:val="24"/>
        </w:rPr>
      </w:pPr>
    </w:p>
    <w:p w:rsidR="00EB5822" w:rsidRDefault="00EB5822" w:rsidP="00DD7C82">
      <w:pPr>
        <w:tabs>
          <w:tab w:val="left" w:pos="0"/>
        </w:tabs>
        <w:jc w:val="both"/>
        <w:rPr>
          <w:b/>
        </w:rPr>
      </w:pPr>
    </w:p>
    <w:p w:rsidR="00527F88" w:rsidRDefault="00527F88" w:rsidP="00DD7C82">
      <w:pPr>
        <w:tabs>
          <w:tab w:val="left" w:pos="0"/>
        </w:tabs>
        <w:jc w:val="both"/>
      </w:pPr>
      <w:r>
        <w:rPr>
          <w:b/>
        </w:rPr>
        <w:t xml:space="preserve">Recommendation (including Implementation): </w:t>
      </w:r>
    </w:p>
    <w:p w:rsidR="00527F88" w:rsidRDefault="00527F88" w:rsidP="00DD7C82">
      <w:pPr>
        <w:tabs>
          <w:tab w:val="left" w:pos="1701"/>
        </w:tabs>
        <w:ind w:left="1701" w:hanging="1701"/>
        <w:jc w:val="both"/>
        <w:rPr>
          <w:b/>
        </w:rPr>
      </w:pPr>
    </w:p>
    <w:p w:rsidR="007C7F6E" w:rsidRDefault="00D82E9B" w:rsidP="007C7F6E">
      <w:pPr>
        <w:tabs>
          <w:tab w:val="left" w:pos="0"/>
        </w:tabs>
        <w:jc w:val="both"/>
      </w:pPr>
      <w:r>
        <w:t>To delete the paragraph (</w:t>
      </w:r>
      <w:proofErr w:type="spellStart"/>
      <w:r>
        <w:t>i</w:t>
      </w:r>
      <w:proofErr w:type="spellEnd"/>
      <w:r>
        <w:t xml:space="preserve">) from 2-5 </w:t>
      </w:r>
      <w:proofErr w:type="spellStart"/>
      <w:r>
        <w:t>Zonal</w:t>
      </w:r>
      <w:proofErr w:type="spellEnd"/>
      <w:r>
        <w:t xml:space="preserve"> Analysis Procedure</w:t>
      </w:r>
      <w:r w:rsidR="007C7F6E">
        <w:t>:</w:t>
      </w:r>
    </w:p>
    <w:p w:rsidR="007C7F6E" w:rsidRDefault="00EB5822" w:rsidP="007C7F6E">
      <w:pPr>
        <w:tabs>
          <w:tab w:val="left" w:pos="0"/>
        </w:tabs>
        <w:jc w:val="both"/>
      </w:pPr>
      <w:r>
        <w:t>From :</w:t>
      </w:r>
    </w:p>
    <w:p w:rsidR="007C7F6E" w:rsidRDefault="007C7F6E" w:rsidP="007C7F6E">
      <w:pPr>
        <w:tabs>
          <w:tab w:val="left" w:pos="0"/>
        </w:tabs>
        <w:jc w:val="both"/>
      </w:pPr>
    </w:p>
    <w:p w:rsidR="00EB5822" w:rsidRDefault="00381C1F" w:rsidP="007C7F6E">
      <w:pPr>
        <w:tabs>
          <w:tab w:val="left" w:pos="0"/>
        </w:tabs>
        <w:jc w:val="both"/>
      </w:pPr>
      <w:r>
        <w:rPr>
          <w:noProof/>
          <w:lang w:val="en-US"/>
        </w:rPr>
        <w:drawing>
          <wp:inline distT="0" distB="0" distL="0" distR="0">
            <wp:extent cx="5615940" cy="3217545"/>
            <wp:effectExtent l="0" t="0" r="381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21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822" w:rsidRDefault="00EB5822" w:rsidP="007C7F6E">
      <w:pPr>
        <w:tabs>
          <w:tab w:val="left" w:pos="0"/>
        </w:tabs>
        <w:jc w:val="both"/>
      </w:pPr>
    </w:p>
    <w:p w:rsidR="00EB5822" w:rsidRDefault="00EB5822" w:rsidP="007C7F6E">
      <w:pPr>
        <w:tabs>
          <w:tab w:val="left" w:pos="0"/>
        </w:tabs>
        <w:jc w:val="both"/>
      </w:pPr>
      <w:r>
        <w:lastRenderedPageBreak/>
        <w:t xml:space="preserve">To: </w:t>
      </w:r>
    </w:p>
    <w:p w:rsidR="00EB5822" w:rsidRDefault="00381C1F" w:rsidP="007C7F6E">
      <w:pPr>
        <w:tabs>
          <w:tab w:val="left" w:pos="0"/>
        </w:tabs>
        <w:jc w:val="both"/>
      </w:pPr>
      <w:r>
        <w:rPr>
          <w:noProof/>
          <w:lang w:val="en-US"/>
        </w:rPr>
        <w:drawing>
          <wp:inline distT="0" distB="0" distL="0" distR="0">
            <wp:extent cx="5770880" cy="3269615"/>
            <wp:effectExtent l="0" t="0" r="127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880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822" w:rsidRDefault="00EB5822" w:rsidP="007C7F6E">
      <w:pPr>
        <w:tabs>
          <w:tab w:val="left" w:pos="0"/>
        </w:tabs>
        <w:jc w:val="both"/>
      </w:pPr>
    </w:p>
    <w:p w:rsidR="00EB5822" w:rsidRDefault="00EB5822" w:rsidP="007C7F6E">
      <w:pPr>
        <w:tabs>
          <w:tab w:val="left" w:pos="0"/>
        </w:tabs>
        <w:jc w:val="both"/>
      </w:pPr>
    </w:p>
    <w:p w:rsidR="00EB5822" w:rsidRDefault="00EB5822" w:rsidP="007C7F6E">
      <w:pPr>
        <w:tabs>
          <w:tab w:val="left" w:pos="0"/>
        </w:tabs>
        <w:jc w:val="both"/>
      </w:pPr>
    </w:p>
    <w:p w:rsidR="00527F88" w:rsidRPr="00FD7B24" w:rsidRDefault="00527F88" w:rsidP="00DD7C82">
      <w:pPr>
        <w:jc w:val="both"/>
        <w:rPr>
          <w:szCs w:val="24"/>
        </w:rPr>
      </w:pPr>
    </w:p>
    <w:p w:rsidR="00527F88" w:rsidRDefault="00527F88" w:rsidP="004518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IMRBPB Position:</w:t>
      </w:r>
    </w:p>
    <w:p w:rsidR="00527F88" w:rsidRDefault="00527F88" w:rsidP="00DD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 xml:space="preserve">Date: </w:t>
      </w:r>
    </w:p>
    <w:p w:rsidR="00527F88" w:rsidRDefault="00527F88" w:rsidP="00DD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>Position:.</w:t>
      </w:r>
    </w:p>
    <w:p w:rsidR="00527F88" w:rsidRDefault="00527F88" w:rsidP="00DD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451899" w:rsidRDefault="00451899" w:rsidP="00DD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451899" w:rsidRDefault="00451899" w:rsidP="00DD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  <w:r>
        <w:rPr>
          <w:b/>
        </w:rPr>
        <w:t>Status of Issue Paper (when closed state the closure date):</w:t>
      </w: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  <w:r>
        <w:rPr>
          <w:b/>
        </w:rPr>
        <w:t>Recommendation for implementation:</w:t>
      </w: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DD7C82">
      <w:pPr>
        <w:jc w:val="both"/>
        <w:rPr>
          <w:b/>
        </w:rPr>
      </w:pPr>
    </w:p>
    <w:p w:rsidR="00527F88" w:rsidRDefault="00527F88" w:rsidP="00C85666">
      <w:pPr>
        <w:jc w:val="both"/>
        <w:rPr>
          <w:lang w:val="en-US"/>
        </w:rPr>
      </w:pPr>
      <w:r>
        <w:rPr>
          <w:b/>
        </w:rPr>
        <w:t xml:space="preserve">Important Note:  </w:t>
      </w:r>
      <w:r>
        <w:t>The IMRBPB positions are not policy.  Positions become policy only when the policy is issued formally by the appropriate National Aviation Authority.</w:t>
      </w:r>
    </w:p>
    <w:p w:rsidR="00527F88" w:rsidRDefault="00527F88" w:rsidP="00DD7C82">
      <w:pPr>
        <w:tabs>
          <w:tab w:val="left" w:pos="810"/>
        </w:tabs>
        <w:ind w:left="2160" w:hanging="2160"/>
        <w:jc w:val="both"/>
        <w:rPr>
          <w:lang w:val="en-US"/>
        </w:rPr>
      </w:pPr>
      <w:r>
        <w:rPr>
          <w:b/>
          <w:lang w:val="en-US"/>
        </w:rPr>
        <w:tab/>
      </w:r>
    </w:p>
    <w:sectPr w:rsidR="00527F88">
      <w:headerReference w:type="default" r:id="rId10"/>
      <w:footerReference w:type="default" r:id="rId11"/>
      <w:pgSz w:w="11907" w:h="16840" w:code="9"/>
      <w:pgMar w:top="1699" w:right="1411" w:bottom="850" w:left="1411" w:header="850" w:footer="562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D1" w:rsidRDefault="008F68D1">
      <w:r>
        <w:separator/>
      </w:r>
    </w:p>
  </w:endnote>
  <w:endnote w:type="continuationSeparator" w:id="0">
    <w:p w:rsidR="008F68D1" w:rsidRDefault="008F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09" w:rsidRDefault="00451899" w:rsidP="00451899">
    <w:pPr>
      <w:pStyle w:val="Footer"/>
      <w:rPr>
        <w:lang w:val="fr-BE"/>
      </w:rPr>
    </w:pPr>
    <w:r>
      <w:rPr>
        <w:lang w:val="fr-BE"/>
      </w:rPr>
      <w:t xml:space="preserve">IP Template </w:t>
    </w:r>
    <w:proofErr w:type="spellStart"/>
    <w:r>
      <w:rPr>
        <w:lang w:val="fr-BE"/>
      </w:rPr>
      <w:t>Rev</w:t>
    </w:r>
    <w:proofErr w:type="spellEnd"/>
    <w:r>
      <w:rPr>
        <w:lang w:val="fr-BE"/>
      </w:rPr>
      <w:t xml:space="preserve">  3, </w:t>
    </w:r>
    <w:proofErr w:type="spellStart"/>
    <w:r>
      <w:rPr>
        <w:lang w:val="fr-BE"/>
      </w:rPr>
      <w:t>dated</w:t>
    </w:r>
    <w:proofErr w:type="spellEnd"/>
    <w:r>
      <w:rPr>
        <w:lang w:val="fr-BE"/>
      </w:rPr>
      <w:t xml:space="preserve"> 20/12/2013</w:t>
    </w:r>
    <w:r>
      <w:rPr>
        <w:lang w:val="fr-BE"/>
      </w:rPr>
      <w:tab/>
    </w:r>
    <w:r>
      <w:rPr>
        <w:lang w:val="fr-BE"/>
      </w:rPr>
      <w:tab/>
    </w:r>
    <w:r w:rsidR="00B45E09">
      <w:rPr>
        <w:lang w:val="fr-BE"/>
      </w:rPr>
      <w:t xml:space="preserve">Page </w:t>
    </w:r>
    <w:r w:rsidR="00B45E09">
      <w:rPr>
        <w:rStyle w:val="PageNumber"/>
      </w:rPr>
      <w:fldChar w:fldCharType="begin"/>
    </w:r>
    <w:r w:rsidR="00B45E09">
      <w:rPr>
        <w:rStyle w:val="PageNumber"/>
      </w:rPr>
      <w:instrText xml:space="preserve"> PAGE </w:instrText>
    </w:r>
    <w:r w:rsidR="00B45E09">
      <w:rPr>
        <w:rStyle w:val="PageNumber"/>
      </w:rPr>
      <w:fldChar w:fldCharType="separate"/>
    </w:r>
    <w:r w:rsidR="00D556B0">
      <w:rPr>
        <w:rStyle w:val="PageNumber"/>
        <w:noProof/>
      </w:rPr>
      <w:t>1</w:t>
    </w:r>
    <w:r w:rsidR="00B45E09">
      <w:rPr>
        <w:rStyle w:val="PageNumber"/>
      </w:rPr>
      <w:fldChar w:fldCharType="end"/>
    </w:r>
    <w:r w:rsidR="00B45E09">
      <w:rPr>
        <w:rStyle w:val="PageNumber"/>
      </w:rPr>
      <w:t xml:space="preserve"> of </w:t>
    </w:r>
    <w:r w:rsidR="00B45E09">
      <w:rPr>
        <w:rStyle w:val="PageNumber"/>
      </w:rPr>
      <w:fldChar w:fldCharType="begin"/>
    </w:r>
    <w:r w:rsidR="00B45E09">
      <w:rPr>
        <w:rStyle w:val="PageNumber"/>
      </w:rPr>
      <w:instrText xml:space="preserve"> NUMPAGES </w:instrText>
    </w:r>
    <w:r w:rsidR="00B45E09">
      <w:rPr>
        <w:rStyle w:val="PageNumber"/>
      </w:rPr>
      <w:fldChar w:fldCharType="separate"/>
    </w:r>
    <w:r w:rsidR="00D556B0">
      <w:rPr>
        <w:rStyle w:val="PageNumber"/>
        <w:noProof/>
      </w:rPr>
      <w:t>2</w:t>
    </w:r>
    <w:r w:rsidR="00B45E09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D1" w:rsidRDefault="008F68D1">
      <w:r>
        <w:separator/>
      </w:r>
    </w:p>
  </w:footnote>
  <w:footnote w:type="continuationSeparator" w:id="0">
    <w:p w:rsidR="008F68D1" w:rsidRDefault="008F6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09" w:rsidRDefault="00B45E09">
    <w:pPr>
      <w:pStyle w:val="Header"/>
      <w:jc w:val="center"/>
      <w:rPr>
        <w:b/>
        <w:i/>
      </w:rPr>
    </w:pPr>
    <w:r>
      <w:rPr>
        <w:b/>
        <w:i/>
      </w:rPr>
      <w:t>International Maintenance Review Board Policy Board (IMRBPB)</w:t>
    </w:r>
  </w:p>
  <w:p w:rsidR="00B45E09" w:rsidRDefault="00B45E09">
    <w:pPr>
      <w:pStyle w:val="Header"/>
      <w:jc w:val="center"/>
      <w:rPr>
        <w:b/>
        <w:i/>
        <w:sz w:val="20"/>
      </w:rPr>
    </w:pPr>
    <w:r>
      <w:rPr>
        <w:b/>
        <w:i/>
      </w:rPr>
      <w:t>Issue Paper (IP)</w:t>
    </w:r>
  </w:p>
  <w:p w:rsidR="00B45E09" w:rsidRDefault="00B45E09">
    <w:pPr>
      <w:pStyle w:val="Header"/>
      <w:rPr>
        <w:b/>
        <w:i/>
        <w:sz w:val="20"/>
      </w:rPr>
    </w:pPr>
    <w:r>
      <w:rPr>
        <w:b/>
        <w:i/>
        <w:sz w:val="20"/>
      </w:rPr>
      <w:t>Initial Date</w:t>
    </w:r>
    <w:r w:rsidR="00451899">
      <w:rPr>
        <w:b/>
        <w:i/>
        <w:sz w:val="20"/>
      </w:rPr>
      <w:t xml:space="preserve"> (DD/MMM/YYYY)</w:t>
    </w:r>
    <w:r>
      <w:rPr>
        <w:b/>
        <w:i/>
        <w:sz w:val="20"/>
      </w:rPr>
      <w:t>:</w:t>
    </w:r>
    <w:r w:rsidR="002C450D">
      <w:rPr>
        <w:b/>
        <w:i/>
        <w:sz w:val="20"/>
      </w:rPr>
      <w:t xml:space="preserve"> </w:t>
    </w:r>
    <w:r w:rsidR="00451899">
      <w:rPr>
        <w:b/>
        <w:i/>
        <w:sz w:val="20"/>
      </w:rPr>
      <w:t>06</w:t>
    </w:r>
    <w:r w:rsidR="00D556B0">
      <w:rPr>
        <w:b/>
        <w:i/>
        <w:sz w:val="20"/>
      </w:rPr>
      <w:t>/MAR/</w:t>
    </w:r>
    <w:r w:rsidR="002C450D">
      <w:rPr>
        <w:b/>
        <w:i/>
        <w:sz w:val="20"/>
      </w:rPr>
      <w:t>2014</w:t>
    </w:r>
  </w:p>
  <w:p w:rsidR="00B45E09" w:rsidRDefault="00C85666">
    <w:pPr>
      <w:pStyle w:val="Header"/>
      <w:rPr>
        <w:b/>
        <w:i/>
        <w:sz w:val="20"/>
      </w:rPr>
    </w:pPr>
    <w:r>
      <w:rPr>
        <w:b/>
        <w:i/>
        <w:sz w:val="20"/>
      </w:rPr>
      <w:t>IP Number: CIP-IND 2013-02</w:t>
    </w:r>
  </w:p>
  <w:p w:rsidR="00B45E09" w:rsidRDefault="00C85666">
    <w:pPr>
      <w:pStyle w:val="Header"/>
      <w:rPr>
        <w:b/>
        <w:i/>
        <w:sz w:val="20"/>
      </w:rPr>
    </w:pPr>
    <w:r>
      <w:rPr>
        <w:b/>
        <w:i/>
        <w:sz w:val="20"/>
      </w:rPr>
      <w:t xml:space="preserve">Revision </w:t>
    </w:r>
    <w:r w:rsidR="00B45E09">
      <w:rPr>
        <w:b/>
        <w:i/>
        <w:sz w:val="20"/>
      </w:rPr>
      <w:t xml:space="preserve">/ Date </w:t>
    </w:r>
    <w:r w:rsidR="00451899">
      <w:rPr>
        <w:b/>
        <w:i/>
        <w:sz w:val="20"/>
      </w:rPr>
      <w:t>(DD/MMM/YYYY)</w:t>
    </w:r>
    <w:r w:rsidR="00B45E09">
      <w:rPr>
        <w:b/>
        <w:i/>
        <w:sz w:val="20"/>
      </w:rP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85D17"/>
    <w:multiLevelType w:val="hybridMultilevel"/>
    <w:tmpl w:val="2B548D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A79F0"/>
    <w:multiLevelType w:val="hybridMultilevel"/>
    <w:tmpl w:val="58E247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A38332C"/>
    <w:multiLevelType w:val="hybridMultilevel"/>
    <w:tmpl w:val="49908290"/>
    <w:lvl w:ilvl="0" w:tplc="EF82D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727A21"/>
    <w:multiLevelType w:val="hybridMultilevel"/>
    <w:tmpl w:val="B6824F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70"/>
    <w:rsid w:val="0007672F"/>
    <w:rsid w:val="000C755B"/>
    <w:rsid w:val="000F0B8C"/>
    <w:rsid w:val="00125BFD"/>
    <w:rsid w:val="00137ED8"/>
    <w:rsid w:val="001C5B8C"/>
    <w:rsid w:val="00201186"/>
    <w:rsid w:val="00274257"/>
    <w:rsid w:val="002A07B5"/>
    <w:rsid w:val="002C450D"/>
    <w:rsid w:val="002D3DCD"/>
    <w:rsid w:val="002F79FC"/>
    <w:rsid w:val="00303E0A"/>
    <w:rsid w:val="00381C1F"/>
    <w:rsid w:val="003B0896"/>
    <w:rsid w:val="003F084E"/>
    <w:rsid w:val="003F0AED"/>
    <w:rsid w:val="00447553"/>
    <w:rsid w:val="00451899"/>
    <w:rsid w:val="00466B1E"/>
    <w:rsid w:val="00473457"/>
    <w:rsid w:val="00475EB9"/>
    <w:rsid w:val="00476155"/>
    <w:rsid w:val="004A631E"/>
    <w:rsid w:val="004C0939"/>
    <w:rsid w:val="004C3942"/>
    <w:rsid w:val="004C45D4"/>
    <w:rsid w:val="00527F88"/>
    <w:rsid w:val="00531DF0"/>
    <w:rsid w:val="00536168"/>
    <w:rsid w:val="0053680D"/>
    <w:rsid w:val="00544643"/>
    <w:rsid w:val="00560CC9"/>
    <w:rsid w:val="00573E70"/>
    <w:rsid w:val="005B078D"/>
    <w:rsid w:val="00687712"/>
    <w:rsid w:val="006A75FD"/>
    <w:rsid w:val="006B4D83"/>
    <w:rsid w:val="006D10C9"/>
    <w:rsid w:val="00721EE9"/>
    <w:rsid w:val="007374D2"/>
    <w:rsid w:val="00766C76"/>
    <w:rsid w:val="007C7F6E"/>
    <w:rsid w:val="00822DDE"/>
    <w:rsid w:val="00833FD3"/>
    <w:rsid w:val="00834564"/>
    <w:rsid w:val="00892D6D"/>
    <w:rsid w:val="008A7F0B"/>
    <w:rsid w:val="008C4342"/>
    <w:rsid w:val="008D4A27"/>
    <w:rsid w:val="008F68D1"/>
    <w:rsid w:val="00906D8A"/>
    <w:rsid w:val="009214F5"/>
    <w:rsid w:val="00980BD2"/>
    <w:rsid w:val="00990C1D"/>
    <w:rsid w:val="009951A5"/>
    <w:rsid w:val="009A4E00"/>
    <w:rsid w:val="009B3168"/>
    <w:rsid w:val="009B3675"/>
    <w:rsid w:val="009E6254"/>
    <w:rsid w:val="00A77114"/>
    <w:rsid w:val="00A931FC"/>
    <w:rsid w:val="00A95857"/>
    <w:rsid w:val="00AB1AEB"/>
    <w:rsid w:val="00B17CD0"/>
    <w:rsid w:val="00B30156"/>
    <w:rsid w:val="00B45E09"/>
    <w:rsid w:val="00B505EA"/>
    <w:rsid w:val="00B53145"/>
    <w:rsid w:val="00BA0BC3"/>
    <w:rsid w:val="00C85666"/>
    <w:rsid w:val="00CB2530"/>
    <w:rsid w:val="00CF4EBF"/>
    <w:rsid w:val="00CF7CB9"/>
    <w:rsid w:val="00D247D3"/>
    <w:rsid w:val="00D26524"/>
    <w:rsid w:val="00D556B0"/>
    <w:rsid w:val="00D82E9B"/>
    <w:rsid w:val="00DA23C3"/>
    <w:rsid w:val="00DB29BF"/>
    <w:rsid w:val="00DB65BF"/>
    <w:rsid w:val="00DD7C82"/>
    <w:rsid w:val="00E32965"/>
    <w:rsid w:val="00E44203"/>
    <w:rsid w:val="00E82370"/>
    <w:rsid w:val="00E832A4"/>
    <w:rsid w:val="00EA3032"/>
    <w:rsid w:val="00EB5822"/>
    <w:rsid w:val="00EE1974"/>
    <w:rsid w:val="00EE61A2"/>
    <w:rsid w:val="00EF731C"/>
    <w:rsid w:val="00F02C5C"/>
    <w:rsid w:val="00F37C28"/>
    <w:rsid w:val="00F53B55"/>
    <w:rsid w:val="00F70D5F"/>
    <w:rsid w:val="00F91320"/>
    <w:rsid w:val="00FC7C43"/>
    <w:rsid w:val="00FD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character" w:styleId="PageNumber">
    <w:name w:val="page number"/>
    <w:basedOn w:val="DefaultParagraphFont"/>
    <w:rsid w:val="00573E70"/>
  </w:style>
  <w:style w:type="paragraph" w:styleId="Revision">
    <w:name w:val="Revision"/>
    <w:hidden/>
    <w:uiPriority w:val="99"/>
    <w:semiHidden/>
    <w:rsid w:val="00B17CD0"/>
    <w:rPr>
      <w:sz w:val="24"/>
      <w:lang w:val="en-GB"/>
    </w:rPr>
  </w:style>
  <w:style w:type="paragraph" w:styleId="BalloonText">
    <w:name w:val="Balloon Text"/>
    <w:basedOn w:val="Normal"/>
    <w:link w:val="BalloonTextChar"/>
    <w:rsid w:val="00B17C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7CD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character" w:styleId="PageNumber">
    <w:name w:val="page number"/>
    <w:basedOn w:val="DefaultParagraphFont"/>
    <w:rsid w:val="00573E70"/>
  </w:style>
  <w:style w:type="paragraph" w:styleId="Revision">
    <w:name w:val="Revision"/>
    <w:hidden/>
    <w:uiPriority w:val="99"/>
    <w:semiHidden/>
    <w:rsid w:val="00B17CD0"/>
    <w:rPr>
      <w:sz w:val="24"/>
      <w:lang w:val="en-GB"/>
    </w:rPr>
  </w:style>
  <w:style w:type="paragraph" w:styleId="BalloonText">
    <w:name w:val="Balloon Text"/>
    <w:basedOn w:val="Normal"/>
    <w:link w:val="BalloonTextChar"/>
    <w:rsid w:val="00B17C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7CD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MTBR process recognized on ATA MSG-3</vt:lpstr>
    </vt:vector>
  </TitlesOfParts>
  <Company>Embraer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MTBR process recognized on ATA MSG-3</dc:title>
  <dc:creator>Elisabeth Marina</dc:creator>
  <cp:lastModifiedBy>Conn, Paul</cp:lastModifiedBy>
  <cp:revision>4</cp:revision>
  <cp:lastPrinted>2014-02-11T14:31:00Z</cp:lastPrinted>
  <dcterms:created xsi:type="dcterms:W3CDTF">2014-02-19T17:42:00Z</dcterms:created>
  <dcterms:modified xsi:type="dcterms:W3CDTF">2014-02-19T17:49:00Z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 Industry Member Appropriate">
    <vt:lpwstr>0</vt:lpwstr>
  </property>
  <property fmtid="{D5CDD505-2E9C-101B-9397-08002B2CF9AE}" pid="3" name="IndustryMemberTopicArea">
    <vt:lpwstr/>
  </property>
  <property fmtid="{D5CDD505-2E9C-101B-9397-08002B2CF9AE}" pid="4" name="ContentType">
    <vt:lpwstr>Document</vt:lpwstr>
  </property>
  <property fmtid="{D5CDD505-2E9C-101B-9397-08002B2CF9AE}" pid="5" name="Status">
    <vt:lpwstr>Open</vt:lpwstr>
  </property>
</Properties>
</file>