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FD693" w14:textId="77777777" w:rsidR="005B3C2A" w:rsidRDefault="005B3C2A" w:rsidP="0094602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2"/>
        <w:gridCol w:w="5287"/>
        <w:gridCol w:w="289"/>
        <w:gridCol w:w="1559"/>
        <w:gridCol w:w="428"/>
      </w:tblGrid>
      <w:tr w:rsidR="000B79BE" w14:paraId="65E7E3DA" w14:textId="77777777" w:rsidTr="00C6557C">
        <w:tc>
          <w:tcPr>
            <w:tcW w:w="1512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678C0F" w14:textId="77777777" w:rsidR="000B79BE" w:rsidRDefault="000B79BE" w:rsidP="00C6557C">
            <w:pPr>
              <w:tabs>
                <w:tab w:val="left" w:pos="1701"/>
              </w:tabs>
              <w:ind w:left="-108"/>
              <w:jc w:val="both"/>
            </w:pPr>
            <w:r>
              <w:rPr>
                <w:b/>
              </w:rPr>
              <w:t>Title:</w:t>
            </w:r>
            <w:r>
              <w:t xml:space="preserve"> </w:t>
            </w:r>
          </w:p>
        </w:tc>
        <w:tc>
          <w:tcPr>
            <w:tcW w:w="5287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175004E" w14:textId="26A07766" w:rsidR="000B79BE" w:rsidRPr="00AE72C0" w:rsidRDefault="00400FA9" w:rsidP="00C6557C">
            <w:pPr>
              <w:tabs>
                <w:tab w:val="left" w:pos="1701"/>
              </w:tabs>
              <w:ind w:left="-108"/>
              <w:jc w:val="both"/>
            </w:pPr>
            <w:r>
              <w:t xml:space="preserve">Establish Policy related to the TCH </w:t>
            </w:r>
            <w:r w:rsidR="00AB42BB">
              <w:t xml:space="preserve">MRBR </w:t>
            </w:r>
            <w:r>
              <w:t>ICA’s and Vendor/Supplier CMM’s</w:t>
            </w:r>
          </w:p>
        </w:tc>
        <w:tc>
          <w:tcPr>
            <w:tcW w:w="289" w:type="dxa"/>
            <w:vMerge w:val="restart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099768C" w14:textId="77777777" w:rsidR="000B79BE" w:rsidRPr="00AE72C0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93E7" w14:textId="77777777" w:rsidR="000B79BE" w:rsidRDefault="000B79BE" w:rsidP="00946023">
            <w:pPr>
              <w:jc w:val="center"/>
            </w:pPr>
            <w:r>
              <w:t>Applies To:</w:t>
            </w:r>
          </w:p>
        </w:tc>
      </w:tr>
      <w:tr w:rsidR="000B79BE" w14:paraId="08C273B3" w14:textId="77777777" w:rsidTr="00C6557C">
        <w:tc>
          <w:tcPr>
            <w:tcW w:w="1512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1D015C" w14:textId="77777777" w:rsidR="000B79BE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5287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FC9CDC2" w14:textId="77777777" w:rsidR="000B79BE" w:rsidRPr="00AE72C0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289" w:type="dxa"/>
            <w:vMerge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BE7732E" w14:textId="77777777" w:rsidR="000B79BE" w:rsidRPr="00AE72C0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6E2C" w14:textId="77777777" w:rsidR="000B79BE" w:rsidRPr="00202D35" w:rsidRDefault="000B79BE" w:rsidP="00C6557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MSG-3 </w:t>
            </w:r>
            <w:r w:rsidRPr="00202D35">
              <w:rPr>
                <w:szCs w:val="24"/>
                <w:lang w:val="en-US"/>
              </w:rPr>
              <w:t>Vol 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6C3E" w14:textId="50635BAB" w:rsidR="000B79BE" w:rsidRDefault="000B79BE" w:rsidP="00C6557C">
            <w:pPr>
              <w:jc w:val="center"/>
            </w:pPr>
          </w:p>
        </w:tc>
      </w:tr>
      <w:tr w:rsidR="000B79BE" w14:paraId="2C57890D" w14:textId="77777777" w:rsidTr="00C6557C">
        <w:tc>
          <w:tcPr>
            <w:tcW w:w="1512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6DD4018" w14:textId="77777777" w:rsidR="000B79BE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5287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0F096B0" w14:textId="77777777" w:rsidR="000B79BE" w:rsidRPr="00AE72C0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289" w:type="dxa"/>
            <w:vMerge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8D199BA" w14:textId="77777777" w:rsidR="000B79BE" w:rsidRPr="00AE72C0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72D4" w14:textId="77777777" w:rsidR="000B79BE" w:rsidRPr="00202D35" w:rsidRDefault="000B79BE" w:rsidP="00C6557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MSG-3 </w:t>
            </w:r>
            <w:r w:rsidRPr="00202D35">
              <w:rPr>
                <w:szCs w:val="24"/>
                <w:lang w:val="en-US"/>
              </w:rPr>
              <w:t>Vol 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E50A" w14:textId="0EC07C73" w:rsidR="000B79BE" w:rsidRDefault="000B79BE" w:rsidP="00C6557C">
            <w:pPr>
              <w:jc w:val="center"/>
            </w:pPr>
          </w:p>
        </w:tc>
      </w:tr>
      <w:tr w:rsidR="000B79BE" w14:paraId="5B349B33" w14:textId="77777777" w:rsidTr="00C6557C">
        <w:tc>
          <w:tcPr>
            <w:tcW w:w="1512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5317816" w14:textId="77777777" w:rsidR="000B79BE" w:rsidRPr="00946023" w:rsidRDefault="000B79BE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Submitter:</w:t>
            </w:r>
          </w:p>
        </w:tc>
        <w:tc>
          <w:tcPr>
            <w:tcW w:w="5287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D8BEF5" w14:textId="4690B28C" w:rsidR="000B79BE" w:rsidRPr="00AE72C0" w:rsidRDefault="004A76CE" w:rsidP="00C6557C">
            <w:pPr>
              <w:tabs>
                <w:tab w:val="left" w:pos="1701"/>
              </w:tabs>
              <w:ind w:left="-108"/>
              <w:jc w:val="both"/>
            </w:pPr>
            <w:r>
              <w:t>MPIG</w:t>
            </w:r>
          </w:p>
        </w:tc>
        <w:tc>
          <w:tcPr>
            <w:tcW w:w="289" w:type="dxa"/>
            <w:vMerge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722841D" w14:textId="77777777" w:rsidR="000B79BE" w:rsidRPr="00AE72C0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0E78" w14:textId="77777777" w:rsidR="000B79BE" w:rsidRPr="00202D35" w:rsidRDefault="000B79BE" w:rsidP="00C6557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IMPS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BCE" w14:textId="19B1ADC0" w:rsidR="000B79BE" w:rsidRDefault="0064492C" w:rsidP="00C6557C">
            <w:pPr>
              <w:jc w:val="center"/>
            </w:pPr>
            <w:r>
              <w:t>X</w:t>
            </w:r>
          </w:p>
        </w:tc>
      </w:tr>
      <w:tr w:rsidR="000B79BE" w14:paraId="50D7BBB7" w14:textId="77777777" w:rsidTr="00C6557C">
        <w:trPr>
          <w:trHeight w:val="562"/>
        </w:trPr>
        <w:tc>
          <w:tcPr>
            <w:tcW w:w="1512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32EAAB" w14:textId="77777777" w:rsidR="000B79BE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5287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614E42" w14:textId="77777777" w:rsidR="000B79BE" w:rsidRDefault="000B79BE" w:rsidP="00C6557C">
            <w:pPr>
              <w:jc w:val="both"/>
            </w:pPr>
          </w:p>
        </w:tc>
        <w:tc>
          <w:tcPr>
            <w:tcW w:w="289" w:type="dxa"/>
            <w:vMerge/>
            <w:tcBorders>
              <w:left w:val="single" w:sz="4" w:space="0" w:color="D9D9D9" w:themeColor="background1" w:themeShade="D9"/>
            </w:tcBorders>
          </w:tcPr>
          <w:p w14:paraId="6803ECED" w14:textId="77777777" w:rsidR="000B79BE" w:rsidRDefault="000B79BE" w:rsidP="00C6557C">
            <w:pPr>
              <w:jc w:val="both"/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</w:tcBorders>
          </w:tcPr>
          <w:p w14:paraId="79A52DB7" w14:textId="77777777" w:rsidR="000B79BE" w:rsidRDefault="000B79BE" w:rsidP="00946023"/>
        </w:tc>
      </w:tr>
      <w:tr w:rsidR="000B79BE" w14:paraId="42EA3BFB" w14:textId="77777777" w:rsidTr="00C6557C">
        <w:trPr>
          <w:trHeight w:val="70"/>
        </w:trPr>
        <w:tc>
          <w:tcPr>
            <w:tcW w:w="151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F494D98" w14:textId="77777777" w:rsidR="000B79BE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5287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A32B28F" w14:textId="77777777" w:rsidR="000B79BE" w:rsidRDefault="000B79BE" w:rsidP="00C6557C">
            <w:pPr>
              <w:jc w:val="both"/>
            </w:pPr>
          </w:p>
        </w:tc>
        <w:tc>
          <w:tcPr>
            <w:tcW w:w="289" w:type="dxa"/>
            <w:vMerge/>
            <w:tcBorders>
              <w:left w:val="nil"/>
              <w:bottom w:val="single" w:sz="4" w:space="0" w:color="D9D9D9" w:themeColor="background1" w:themeShade="D9"/>
            </w:tcBorders>
          </w:tcPr>
          <w:p w14:paraId="45F8F8FB" w14:textId="77777777" w:rsidR="000B79BE" w:rsidRDefault="000B79BE" w:rsidP="00C6557C">
            <w:pPr>
              <w:jc w:val="both"/>
            </w:pPr>
          </w:p>
        </w:tc>
        <w:tc>
          <w:tcPr>
            <w:tcW w:w="1987" w:type="dxa"/>
            <w:gridSpan w:val="2"/>
            <w:vMerge/>
          </w:tcPr>
          <w:p w14:paraId="7B7497A3" w14:textId="77777777" w:rsidR="000B79BE" w:rsidRDefault="000B79BE" w:rsidP="00946023"/>
        </w:tc>
      </w:tr>
      <w:tr w:rsidR="009E6DED" w14:paraId="746D9DE7" w14:textId="77777777" w:rsidTr="00C6557C">
        <w:trPr>
          <w:trHeight w:val="209"/>
        </w:trPr>
        <w:tc>
          <w:tcPr>
            <w:tcW w:w="9075" w:type="dxa"/>
            <w:gridSpan w:val="5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F0BD816" w14:textId="77777777" w:rsidR="009E6DED" w:rsidRDefault="009E6DED" w:rsidP="00C6557C">
            <w:pPr>
              <w:tabs>
                <w:tab w:val="left" w:pos="1701"/>
              </w:tabs>
              <w:ind w:left="-108"/>
              <w:jc w:val="both"/>
            </w:pPr>
            <w:r>
              <w:rPr>
                <w:b/>
              </w:rPr>
              <w:t>Issue:</w:t>
            </w:r>
          </w:p>
        </w:tc>
      </w:tr>
      <w:tr w:rsidR="006A48CE" w14:paraId="069D2415" w14:textId="77777777" w:rsidTr="00C6557C">
        <w:trPr>
          <w:trHeight w:val="1656"/>
        </w:trPr>
        <w:tc>
          <w:tcPr>
            <w:tcW w:w="9075" w:type="dxa"/>
            <w:gridSpan w:val="5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2D92B9" w14:textId="7C2B0640" w:rsidR="003D136B" w:rsidRDefault="005F5910" w:rsidP="003D136B">
            <w:r>
              <w:t xml:space="preserve">When </w:t>
            </w:r>
            <w:r w:rsidRPr="00062602">
              <w:t>MRB</w:t>
            </w:r>
            <w:r w:rsidR="00B741FF">
              <w:t>R</w:t>
            </w:r>
            <w:r w:rsidRPr="00062602">
              <w:t xml:space="preserve"> task</w:t>
            </w:r>
            <w:r w:rsidR="00E73CA1" w:rsidRPr="00062602">
              <w:t>s</w:t>
            </w:r>
            <w:r w:rsidRPr="00062602">
              <w:t xml:space="preserve"> ar</w:t>
            </w:r>
            <w:r w:rsidR="00E42105" w:rsidRPr="00062602">
              <w:t>e</w:t>
            </w:r>
            <w:r w:rsidRPr="00062602">
              <w:t xml:space="preserve"> developed </w:t>
            </w:r>
            <w:r w:rsidR="005F3B3E">
              <w:t>with strict</w:t>
            </w:r>
            <w:r w:rsidR="0064492C" w:rsidRPr="00062602">
              <w:t xml:space="preserve"> </w:t>
            </w:r>
            <w:r w:rsidRPr="00062602">
              <w:t xml:space="preserve">reliance on </w:t>
            </w:r>
            <w:r w:rsidR="00E42105" w:rsidRPr="00062602">
              <w:t xml:space="preserve">the </w:t>
            </w:r>
            <w:r w:rsidRPr="00062602">
              <w:t>supplier/vendor</w:t>
            </w:r>
            <w:r w:rsidR="00E73CA1" w:rsidRPr="00062602">
              <w:t>’s</w:t>
            </w:r>
            <w:r w:rsidR="000D1E52">
              <w:t xml:space="preserve"> </w:t>
            </w:r>
            <w:r w:rsidR="0006632D">
              <w:t xml:space="preserve">source </w:t>
            </w:r>
            <w:r w:rsidR="000D1E52">
              <w:t>data</w:t>
            </w:r>
            <w:r w:rsidR="00C86854">
              <w:t xml:space="preserve"> documents</w:t>
            </w:r>
            <w:r w:rsidR="00B741FF">
              <w:t>,</w:t>
            </w:r>
            <w:r w:rsidR="000D1E52">
              <w:t xml:space="preserve"> such as the Component Maintenance Manual</w:t>
            </w:r>
            <w:r w:rsidRPr="00062602">
              <w:t xml:space="preserve"> </w:t>
            </w:r>
            <w:r w:rsidR="000D1E52">
              <w:t>(</w:t>
            </w:r>
            <w:r w:rsidRPr="00062602">
              <w:t>CMM</w:t>
            </w:r>
            <w:r w:rsidR="000D1E52">
              <w:t>)</w:t>
            </w:r>
            <w:r w:rsidR="00B741FF">
              <w:t>,</w:t>
            </w:r>
            <w:r w:rsidR="00B44962">
              <w:t xml:space="preserve"> </w:t>
            </w:r>
            <w:r w:rsidR="00E42105" w:rsidRPr="00062602">
              <w:t xml:space="preserve">by the </w:t>
            </w:r>
            <w:r w:rsidR="00E73CA1" w:rsidRPr="00062602">
              <w:t xml:space="preserve">Industry </w:t>
            </w:r>
            <w:r w:rsidR="00E42105" w:rsidRPr="00062602">
              <w:t>W</w:t>
            </w:r>
            <w:r w:rsidR="00E73CA1" w:rsidRPr="00062602">
              <w:t xml:space="preserve">orking </w:t>
            </w:r>
            <w:r w:rsidR="00E42105" w:rsidRPr="00062602">
              <w:t>G</w:t>
            </w:r>
            <w:r w:rsidR="00E73CA1" w:rsidRPr="00062602">
              <w:t>roups</w:t>
            </w:r>
            <w:r w:rsidR="00502623">
              <w:t xml:space="preserve"> (IWG)</w:t>
            </w:r>
            <w:r w:rsidR="00E42105" w:rsidRPr="00062602">
              <w:t xml:space="preserve"> and ISC</w:t>
            </w:r>
            <w:r w:rsidRPr="00062602">
              <w:t xml:space="preserve"> </w:t>
            </w:r>
            <w:r w:rsidR="00E42105" w:rsidRPr="00062602">
              <w:t xml:space="preserve">there </w:t>
            </w:r>
            <w:r w:rsidR="00D3738C">
              <w:t>can be</w:t>
            </w:r>
            <w:r w:rsidR="00D3738C" w:rsidRPr="00062602">
              <w:t xml:space="preserve"> </w:t>
            </w:r>
            <w:r w:rsidR="00E42105" w:rsidRPr="00062602">
              <w:t xml:space="preserve">inadequate </w:t>
            </w:r>
            <w:r w:rsidR="00D3738C">
              <w:t>MRB/ISC surveillance</w:t>
            </w:r>
            <w:r w:rsidR="003D136B">
              <w:t>/audit</w:t>
            </w:r>
            <w:r w:rsidR="00D3738C">
              <w:t xml:space="preserve"> and management control of</w:t>
            </w:r>
            <w:r w:rsidR="00E42105" w:rsidRPr="00062602">
              <w:t xml:space="preserve"> the </w:t>
            </w:r>
            <w:r w:rsidR="00D3738C">
              <w:t xml:space="preserve">MRBR </w:t>
            </w:r>
            <w:r w:rsidR="00E42105" w:rsidRPr="00062602">
              <w:t>ICA’s require</w:t>
            </w:r>
            <w:r w:rsidR="00D3738C">
              <w:t>ments both</w:t>
            </w:r>
            <w:r w:rsidR="00E42105" w:rsidRPr="00062602">
              <w:t xml:space="preserve"> for aircraft certification and </w:t>
            </w:r>
            <w:r w:rsidR="003523A0" w:rsidRPr="00062602">
              <w:t>contin</w:t>
            </w:r>
            <w:r w:rsidR="003523A0">
              <w:t>uing</w:t>
            </w:r>
            <w:r w:rsidR="00E42105" w:rsidRPr="00062602">
              <w:t xml:space="preserve"> airworthiness</w:t>
            </w:r>
            <w:r w:rsidR="003D136B">
              <w:t xml:space="preserve"> compliance requirements</w:t>
            </w:r>
            <w:r w:rsidR="00E42105">
              <w:t>.</w:t>
            </w:r>
            <w:r w:rsidR="00D64CDD">
              <w:t xml:space="preserve"> This occurs when the TCH/OEM has no </w:t>
            </w:r>
            <w:r w:rsidR="00C535CA">
              <w:t xml:space="preserve">constant </w:t>
            </w:r>
            <w:r w:rsidR="00D64CDD">
              <w:t>authority</w:t>
            </w:r>
            <w:r w:rsidR="00003D32">
              <w:t xml:space="preserve"> or monitoring activity</w:t>
            </w:r>
            <w:r w:rsidR="00D64CDD">
              <w:t xml:space="preserve"> over </w:t>
            </w:r>
            <w:r w:rsidR="00C535CA">
              <w:t xml:space="preserve">the textual </w:t>
            </w:r>
            <w:r w:rsidR="003D136B">
              <w:t xml:space="preserve">detail </w:t>
            </w:r>
            <w:r w:rsidR="00C535CA">
              <w:t xml:space="preserve">content related to an MRBR </w:t>
            </w:r>
            <w:r w:rsidR="0058006A">
              <w:t xml:space="preserve">ICA </w:t>
            </w:r>
            <w:r w:rsidR="003D136B">
              <w:t>as defined by development criteria</w:t>
            </w:r>
            <w:r w:rsidR="00502623">
              <w:t xml:space="preserve"> </w:t>
            </w:r>
            <w:r w:rsidR="003D136B" w:rsidRPr="003D136B">
              <w:t xml:space="preserve">requirements </w:t>
            </w:r>
            <w:r w:rsidR="00132627" w:rsidRPr="003D136B">
              <w:t>of 2</w:t>
            </w:r>
            <w:r w:rsidR="003D136B" w:rsidRPr="00CE218C">
              <w:t>-1-2. Approach</w:t>
            </w:r>
            <w:r w:rsidR="003D136B">
              <w:t xml:space="preserve"> 3.) </w:t>
            </w:r>
            <w:r w:rsidR="003D136B" w:rsidRPr="00044413">
              <w:t>Method for Scheduled Maintenance Development</w:t>
            </w:r>
            <w:r w:rsidR="003D136B">
              <w:t xml:space="preserve">. </w:t>
            </w:r>
            <w:r w:rsidR="00CE218C">
              <w:t>This section states “</w:t>
            </w:r>
            <w:r w:rsidR="00CE218C">
              <w:rPr>
                <w:rFonts w:ascii="AAAAAM+TimesNewRomanPSMT" w:hAnsi="AAAAAM+TimesNewRomanPSMT" w:cs="AAAAAM+TimesNewRomanPSMT"/>
                <w:sz w:val="23"/>
                <w:szCs w:val="23"/>
              </w:rPr>
              <w:t xml:space="preserve">The ISC will define the information to be presented to the working group to support their task selection decision </w:t>
            </w:r>
            <w:r w:rsidR="00CE218C" w:rsidRPr="00826C73">
              <w:rPr>
                <w:rFonts w:ascii="AAAAAM+TimesNewRomanPSMT" w:hAnsi="AAAAAM+TimesNewRomanPSMT" w:cs="AAAAAM+TimesNewRomanPSMT"/>
                <w:sz w:val="23"/>
                <w:szCs w:val="23"/>
              </w:rPr>
              <w:t xml:space="preserve">and </w:t>
            </w:r>
            <w:r w:rsidR="00CE218C" w:rsidRPr="00A8680D">
              <w:rPr>
                <w:rFonts w:ascii="AAAAAM+TimesNewRomanPSMT" w:hAnsi="AAAAAM+TimesNewRomanPSMT" w:cs="AAAAAM+TimesNewRomanPSMT"/>
                <w:sz w:val="23"/>
                <w:szCs w:val="23"/>
              </w:rPr>
              <w:t>to provide traceability</w:t>
            </w:r>
            <w:r w:rsidR="00CE218C" w:rsidRPr="00826C73">
              <w:rPr>
                <w:rFonts w:ascii="AAAAAM+TimesNewRomanPSMT" w:hAnsi="AAAAAM+TimesNewRomanPSMT" w:cs="AAAAAM+TimesNewRomanPSMT"/>
                <w:sz w:val="23"/>
                <w:szCs w:val="23"/>
              </w:rPr>
              <w:t xml:space="preserve"> of</w:t>
            </w:r>
            <w:r w:rsidR="00CE218C">
              <w:rPr>
                <w:rFonts w:ascii="AAAAAM+TimesNewRomanPSMT" w:hAnsi="AAAAAM+TimesNewRomanPSMT" w:cs="AAAAAM+TimesNewRomanPSMT"/>
                <w:sz w:val="23"/>
                <w:szCs w:val="23"/>
              </w:rPr>
              <w:t xml:space="preserve"> task requirements in the development of the supporting ICA</w:t>
            </w:r>
            <w:r w:rsidR="00CE218C" w:rsidRPr="00A8680D">
              <w:rPr>
                <w:rFonts w:ascii="AAAAAM+TimesNewRomanPSMT" w:hAnsi="AAAAAM+TimesNewRomanPSMT" w:cs="AAAAAM+TimesNewRomanPSMT"/>
                <w:sz w:val="23"/>
                <w:szCs w:val="23"/>
              </w:rPr>
              <w:t xml:space="preserve">”. </w:t>
            </w:r>
            <w:r w:rsidR="003D136B" w:rsidRPr="00A8680D">
              <w:t xml:space="preserve">This </w:t>
            </w:r>
            <w:r w:rsidR="00CE218C" w:rsidRPr="00A8680D">
              <w:t xml:space="preserve">statement indicates the </w:t>
            </w:r>
            <w:r w:rsidR="003D136B" w:rsidRPr="00A8680D">
              <w:t xml:space="preserve">annotation of </w:t>
            </w:r>
            <w:r w:rsidR="00132627" w:rsidRPr="00A8680D">
              <w:t>the MRBR</w:t>
            </w:r>
            <w:r w:rsidR="00540D35" w:rsidRPr="00A8680D">
              <w:t xml:space="preserve"> </w:t>
            </w:r>
            <w:r w:rsidR="00C535CA" w:rsidRPr="00A8680D">
              <w:t xml:space="preserve">ATA task code </w:t>
            </w:r>
            <w:r w:rsidR="0058006A" w:rsidRPr="00A8680D">
              <w:t>identification</w:t>
            </w:r>
            <w:r w:rsidR="00C535CA" w:rsidRPr="00A8680D">
              <w:t xml:space="preserve"> </w:t>
            </w:r>
            <w:r w:rsidR="00540D35" w:rsidRPr="00A8680D">
              <w:t>assignment</w:t>
            </w:r>
            <w:r w:rsidR="003D136B" w:rsidRPr="00A8680D">
              <w:t xml:space="preserve"> in the MRBR</w:t>
            </w:r>
            <w:r w:rsidR="00540D35" w:rsidRPr="00A8680D">
              <w:t xml:space="preserve"> </w:t>
            </w:r>
            <w:r w:rsidR="0058006A" w:rsidRPr="00A8680D">
              <w:t xml:space="preserve">associated </w:t>
            </w:r>
            <w:r w:rsidR="00C535CA" w:rsidRPr="00A8680D">
              <w:t xml:space="preserve">with the </w:t>
            </w:r>
            <w:r w:rsidR="00003D32" w:rsidRPr="00A8680D">
              <w:t>supplier/vendor’s</w:t>
            </w:r>
            <w:r w:rsidR="00C535CA" w:rsidRPr="00A8680D">
              <w:t xml:space="preserve"> related </w:t>
            </w:r>
            <w:r w:rsidR="0058006A" w:rsidRPr="00A8680D">
              <w:t xml:space="preserve">published </w:t>
            </w:r>
            <w:r w:rsidR="00CE218C" w:rsidRPr="00A8680D">
              <w:t xml:space="preserve">ICA </w:t>
            </w:r>
            <w:r w:rsidR="00C535CA" w:rsidRPr="00A8680D">
              <w:t>instructions</w:t>
            </w:r>
            <w:r w:rsidR="00003D32" w:rsidRPr="00A8680D">
              <w:t>.</w:t>
            </w:r>
            <w:r w:rsidR="00003D32" w:rsidRPr="003D136B">
              <w:t xml:space="preserve">  </w:t>
            </w:r>
          </w:p>
          <w:p w14:paraId="60FBF7CE" w14:textId="77777777" w:rsidR="003D136B" w:rsidRDefault="003D136B" w:rsidP="003D136B"/>
          <w:p w14:paraId="39343417" w14:textId="1E3EBCE0" w:rsidR="00132627" w:rsidRDefault="00CE218C" w:rsidP="003D136B">
            <w:r>
              <w:t>Without procedural detail t</w:t>
            </w:r>
            <w:r w:rsidR="00003D32" w:rsidRPr="003D136B">
              <w:t>he</w:t>
            </w:r>
            <w:r w:rsidR="003D136B">
              <w:t xml:space="preserve"> supplier/vendor </w:t>
            </w:r>
            <w:r w:rsidR="00003D32">
              <w:t xml:space="preserve">textual </w:t>
            </w:r>
            <w:r w:rsidR="003D136B">
              <w:t xml:space="preserve">detail </w:t>
            </w:r>
            <w:r w:rsidR="00132627">
              <w:t xml:space="preserve">might have to be </w:t>
            </w:r>
            <w:r w:rsidR="0058006A">
              <w:t xml:space="preserve">assumed to meet the MRBR ICA task intent </w:t>
            </w:r>
            <w:r w:rsidR="00540D35">
              <w:t xml:space="preserve">at the initial publication for certification </w:t>
            </w:r>
            <w:r w:rsidR="0058006A">
              <w:t xml:space="preserve">and over the </w:t>
            </w:r>
            <w:r w:rsidR="00540D35">
              <w:t xml:space="preserve">operational </w:t>
            </w:r>
            <w:r w:rsidR="0058006A">
              <w:t xml:space="preserve">design life </w:t>
            </w:r>
            <w:r w:rsidR="00132627">
              <w:t xml:space="preserve">of </w:t>
            </w:r>
            <w:r w:rsidR="0058006A">
              <w:t xml:space="preserve">the aircraft. </w:t>
            </w:r>
          </w:p>
          <w:p w14:paraId="774E3FA3" w14:textId="77777777" w:rsidR="00132627" w:rsidRDefault="00132627" w:rsidP="003D136B"/>
          <w:p w14:paraId="5828D31B" w14:textId="04DEDE33" w:rsidR="00003D32" w:rsidRDefault="00003D32" w:rsidP="00132627">
            <w:r>
              <w:t xml:space="preserve">The lack of a harmonized approach </w:t>
            </w:r>
            <w:r w:rsidR="0058006A">
              <w:t xml:space="preserve">to ensure the continuous </w:t>
            </w:r>
            <w:r w:rsidR="00132627">
              <w:t xml:space="preserve">alignment and equivalency </w:t>
            </w:r>
            <w:r w:rsidR="00540D35">
              <w:t>of the MRBR ICA task intent compliance requirements</w:t>
            </w:r>
            <w:r w:rsidR="00183A25">
              <w:t xml:space="preserve"> with vendor/suppliers</w:t>
            </w:r>
            <w:r w:rsidR="00540D35">
              <w:t xml:space="preserve"> </w:t>
            </w:r>
            <w:r w:rsidR="00196B7D">
              <w:t>result</w:t>
            </w:r>
            <w:r>
              <w:t xml:space="preserve"> in several significant </w:t>
            </w:r>
            <w:r w:rsidR="00196B7D">
              <w:t xml:space="preserve">continuing airworthiness management </w:t>
            </w:r>
            <w:r w:rsidR="00CB57F4">
              <w:t xml:space="preserve">and periodic MRBR audit </w:t>
            </w:r>
            <w:r>
              <w:t>problems</w:t>
            </w:r>
            <w:r w:rsidR="00540D35">
              <w:t xml:space="preserve"> for the MRB, ISC and operators</w:t>
            </w:r>
            <w:r>
              <w:t xml:space="preserve">. </w:t>
            </w:r>
            <w:r w:rsidR="00196B7D">
              <w:t xml:space="preserve">The International MRB/MTB Process </w:t>
            </w:r>
            <w:r w:rsidR="00BD5D24">
              <w:t>Standard (</w:t>
            </w:r>
            <w:r w:rsidR="00196B7D" w:rsidRPr="00196B7D">
              <w:t>IMPS</w:t>
            </w:r>
            <w:r w:rsidR="00196B7D">
              <w:t>)</w:t>
            </w:r>
            <w:r w:rsidR="00196B7D" w:rsidRPr="00196B7D">
              <w:t xml:space="preserve"> and the MSG-3 documents do not currently </w:t>
            </w:r>
            <w:r w:rsidR="00BD5D24" w:rsidRPr="00196B7D">
              <w:t>provide</w:t>
            </w:r>
            <w:r w:rsidR="00196B7D" w:rsidRPr="00196B7D">
              <w:t xml:space="preserve"> instructional</w:t>
            </w:r>
            <w:r w:rsidR="00196B7D">
              <w:t xml:space="preserve"> detail</w:t>
            </w:r>
            <w:r w:rsidR="00EA0A78">
              <w:t>/guidance</w:t>
            </w:r>
            <w:r w:rsidR="00183A25">
              <w:t xml:space="preserve"> (i.e., policy, process, procedure)</w:t>
            </w:r>
            <w:r w:rsidR="00196B7D">
              <w:t xml:space="preserve"> to address th</w:t>
            </w:r>
            <w:r w:rsidR="006E047C">
              <w:t>is</w:t>
            </w:r>
            <w:r w:rsidR="00196B7D">
              <w:t xml:space="preserve"> issue.  </w:t>
            </w:r>
          </w:p>
          <w:p w14:paraId="1EEF7507" w14:textId="77777777" w:rsidR="00E92BB7" w:rsidRDefault="00E92BB7" w:rsidP="00132627"/>
          <w:p w14:paraId="304675DA" w14:textId="77777777" w:rsidR="00E92BB7" w:rsidRDefault="00E92BB7" w:rsidP="00132627"/>
          <w:p w14:paraId="699DCE32" w14:textId="77777777" w:rsidR="00E92BB7" w:rsidRDefault="00E92BB7" w:rsidP="00132627"/>
          <w:p w14:paraId="7BB906E5" w14:textId="77777777" w:rsidR="00E92BB7" w:rsidRDefault="00E92BB7" w:rsidP="00132627"/>
          <w:p w14:paraId="25A914A2" w14:textId="77777777" w:rsidR="00E92BB7" w:rsidRDefault="00E92BB7" w:rsidP="00132627"/>
          <w:p w14:paraId="40B21FA9" w14:textId="77777777" w:rsidR="00E92BB7" w:rsidRDefault="00E92BB7" w:rsidP="00132627"/>
          <w:p w14:paraId="38171316" w14:textId="77777777" w:rsidR="00003D32" w:rsidRDefault="00003D32" w:rsidP="0064492C">
            <w:pPr>
              <w:tabs>
                <w:tab w:val="left" w:pos="1701"/>
              </w:tabs>
              <w:ind w:left="-108"/>
            </w:pPr>
          </w:p>
          <w:p w14:paraId="2C4FA5EC" w14:textId="6DC852C4" w:rsidR="006A48CE" w:rsidRDefault="006A48CE" w:rsidP="0064492C">
            <w:pPr>
              <w:tabs>
                <w:tab w:val="left" w:pos="1701"/>
              </w:tabs>
              <w:ind w:left="-108"/>
            </w:pPr>
          </w:p>
        </w:tc>
      </w:tr>
      <w:tr w:rsidR="006A48CE" w14:paraId="5A5A1DDA" w14:textId="77777777" w:rsidTr="00C6557C">
        <w:trPr>
          <w:trHeight w:val="80"/>
        </w:trPr>
        <w:tc>
          <w:tcPr>
            <w:tcW w:w="9075" w:type="dxa"/>
            <w:gridSpan w:val="5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57DE8D5" w14:textId="77777777" w:rsidR="006A48CE" w:rsidRDefault="006A48CE" w:rsidP="00C6557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0B79BE" w14:paraId="58231992" w14:textId="77777777" w:rsidTr="00C6557C">
        <w:trPr>
          <w:trHeight w:val="80"/>
        </w:trPr>
        <w:tc>
          <w:tcPr>
            <w:tcW w:w="9075" w:type="dxa"/>
            <w:gridSpan w:val="5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38124E" w14:textId="77777777" w:rsidR="000B79BE" w:rsidRDefault="000B79BE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lastRenderedPageBreak/>
              <w:t>Problem:</w:t>
            </w:r>
          </w:p>
        </w:tc>
      </w:tr>
      <w:tr w:rsidR="006A48CE" w14:paraId="61A56555" w14:textId="77777777" w:rsidTr="00C6557C">
        <w:trPr>
          <w:trHeight w:val="1656"/>
        </w:trPr>
        <w:tc>
          <w:tcPr>
            <w:tcW w:w="9075" w:type="dxa"/>
            <w:gridSpan w:val="5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2A1EC4A" w14:textId="67F73238" w:rsidR="006A48CE" w:rsidRDefault="0064492C" w:rsidP="0064492C">
            <w:pPr>
              <w:tabs>
                <w:tab w:val="left" w:pos="1701"/>
              </w:tabs>
              <w:ind w:left="-108"/>
            </w:pPr>
            <w:r>
              <w:t xml:space="preserve">There </w:t>
            </w:r>
            <w:r w:rsidR="00066071">
              <w:t xml:space="preserve">are </w:t>
            </w:r>
            <w:r w:rsidR="00ED30D6">
              <w:t xml:space="preserve">many </w:t>
            </w:r>
            <w:r>
              <w:t xml:space="preserve">problems </w:t>
            </w:r>
            <w:r w:rsidR="006E047C">
              <w:t xml:space="preserve">that can </w:t>
            </w:r>
            <w:r>
              <w:t>result from th</w:t>
            </w:r>
            <w:r w:rsidR="00066071">
              <w:t>is</w:t>
            </w:r>
            <w:r>
              <w:t xml:space="preserve"> lack of </w:t>
            </w:r>
            <w:r w:rsidR="00066071">
              <w:t>management</w:t>
            </w:r>
            <w:r w:rsidR="00BD5D24">
              <w:t xml:space="preserve"> control and </w:t>
            </w:r>
            <w:r w:rsidR="006E047C">
              <w:t>surveillance guidance over outsourced MRBR ICA compliance detail requirements</w:t>
            </w:r>
            <w:r>
              <w:t>:</w:t>
            </w:r>
          </w:p>
          <w:p w14:paraId="15C12E5E" w14:textId="77777777" w:rsidR="0064492C" w:rsidRDefault="0064492C" w:rsidP="0064492C">
            <w:pPr>
              <w:tabs>
                <w:tab w:val="left" w:pos="1701"/>
              </w:tabs>
              <w:ind w:left="-108"/>
            </w:pPr>
          </w:p>
          <w:p w14:paraId="5D2FC073" w14:textId="254D5014" w:rsidR="0006632D" w:rsidRDefault="0064492C" w:rsidP="0064492C">
            <w:pPr>
              <w:pStyle w:val="ListParagraph"/>
              <w:numPr>
                <w:ilvl w:val="0"/>
                <w:numId w:val="2"/>
              </w:numPr>
              <w:tabs>
                <w:tab w:val="left" w:pos="1701"/>
              </w:tabs>
            </w:pPr>
            <w:r>
              <w:t xml:space="preserve">The </w:t>
            </w:r>
            <w:r w:rsidR="00345B23" w:rsidRPr="00062602">
              <w:t xml:space="preserve">MSG-3 </w:t>
            </w:r>
            <w:r w:rsidR="0006632D">
              <w:t xml:space="preserve">analysis </w:t>
            </w:r>
            <w:r w:rsidRPr="00062602">
              <w:t>task summary data sheet detailed instructions</w:t>
            </w:r>
            <w:r w:rsidR="00B44962">
              <w:t>, procedures and</w:t>
            </w:r>
            <w:r w:rsidR="006D5DC5">
              <w:t>/</w:t>
            </w:r>
            <w:r w:rsidR="00B44962">
              <w:t>or requirements</w:t>
            </w:r>
            <w:r w:rsidRPr="00062602">
              <w:t xml:space="preserve"> may not be </w:t>
            </w:r>
            <w:r w:rsidR="0006632D">
              <w:t xml:space="preserve">adequately or precisely </w:t>
            </w:r>
            <w:r w:rsidRPr="00062602">
              <w:t xml:space="preserve">contained in the </w:t>
            </w:r>
            <w:r w:rsidR="0006632D">
              <w:t xml:space="preserve">supplier/vendor source data, typically a </w:t>
            </w:r>
            <w:r w:rsidRPr="00062602">
              <w:t>CMM</w:t>
            </w:r>
            <w:r w:rsidR="00132627">
              <w:t xml:space="preserve"> to demonstrate compliance with the MRBR task(s)</w:t>
            </w:r>
            <w:r w:rsidR="00345B23" w:rsidRPr="00062602">
              <w:t xml:space="preserve">. </w:t>
            </w:r>
            <w:r w:rsidR="0006632D">
              <w:br/>
            </w:r>
          </w:p>
          <w:p w14:paraId="5BC89C5E" w14:textId="6E0F1588" w:rsidR="0064492C" w:rsidRPr="00062602" w:rsidRDefault="00345B23" w:rsidP="0064492C">
            <w:pPr>
              <w:pStyle w:val="ListParagraph"/>
              <w:numPr>
                <w:ilvl w:val="0"/>
                <w:numId w:val="2"/>
              </w:numPr>
              <w:tabs>
                <w:tab w:val="left" w:pos="1701"/>
              </w:tabs>
            </w:pPr>
            <w:r w:rsidRPr="00062602">
              <w:t xml:space="preserve">The CMM </w:t>
            </w:r>
            <w:r w:rsidR="00053C71">
              <w:t xml:space="preserve">instructional </w:t>
            </w:r>
            <w:r w:rsidRPr="00062602">
              <w:t>detail and referenced</w:t>
            </w:r>
            <w:r w:rsidR="0064492C" w:rsidRPr="00062602">
              <w:t xml:space="preserve"> </w:t>
            </w:r>
            <w:r w:rsidR="00062602" w:rsidRPr="00062602">
              <w:t xml:space="preserve">data used </w:t>
            </w:r>
            <w:r w:rsidR="00066071" w:rsidRPr="00062602">
              <w:t xml:space="preserve">during </w:t>
            </w:r>
            <w:r w:rsidR="00364E6F" w:rsidRPr="00062602">
              <w:t>initial</w:t>
            </w:r>
            <w:r w:rsidR="00066071" w:rsidRPr="00062602">
              <w:t xml:space="preserve"> </w:t>
            </w:r>
            <w:r w:rsidR="00053C71">
              <w:t xml:space="preserve">MRBR ICA development for </w:t>
            </w:r>
            <w:r w:rsidR="00066071" w:rsidRPr="00062602">
              <w:t>aircraft certification</w:t>
            </w:r>
            <w:r w:rsidRPr="00062602">
              <w:t xml:space="preserve">, </w:t>
            </w:r>
            <w:r w:rsidR="00066071" w:rsidRPr="00062602">
              <w:t xml:space="preserve">may not be sustained </w:t>
            </w:r>
            <w:r w:rsidR="0064492C" w:rsidRPr="00062602">
              <w:t xml:space="preserve">over the </w:t>
            </w:r>
            <w:r w:rsidR="00062602">
              <w:t xml:space="preserve">operational </w:t>
            </w:r>
            <w:r w:rsidR="0064492C" w:rsidRPr="00062602">
              <w:t>life of the aircraft</w:t>
            </w:r>
            <w:r w:rsidR="00066071" w:rsidRPr="00062602">
              <w:t>,</w:t>
            </w:r>
            <w:r w:rsidR="00364E6F" w:rsidRPr="00062602">
              <w:t xml:space="preserve"> </w:t>
            </w:r>
            <w:r w:rsidR="0064492C" w:rsidRPr="00062602">
              <w:t>as supplier/vendor companies are sold or out of business.</w:t>
            </w:r>
          </w:p>
          <w:p w14:paraId="03A284E5" w14:textId="77777777" w:rsidR="0064492C" w:rsidRDefault="0064492C" w:rsidP="0064492C">
            <w:pPr>
              <w:tabs>
                <w:tab w:val="left" w:pos="1701"/>
              </w:tabs>
              <w:ind w:left="-108"/>
            </w:pPr>
          </w:p>
          <w:p w14:paraId="2E3B244D" w14:textId="37F83156" w:rsidR="0064492C" w:rsidRDefault="000B4739" w:rsidP="0064492C">
            <w:pPr>
              <w:pStyle w:val="ListParagraph"/>
              <w:numPr>
                <w:ilvl w:val="0"/>
                <w:numId w:val="2"/>
              </w:numPr>
              <w:tabs>
                <w:tab w:val="left" w:pos="1701"/>
              </w:tabs>
            </w:pPr>
            <w:r>
              <w:t>Details associated with the MRBR task requirements</w:t>
            </w:r>
            <w:r w:rsidR="0064492C">
              <w:t xml:space="preserve"> may be altered without the knowledge of the aircraft OEM/TCH</w:t>
            </w:r>
            <w:r w:rsidR="00062602">
              <w:t xml:space="preserve"> over the operational life of the aircraft</w:t>
            </w:r>
            <w:r w:rsidR="00066071">
              <w:t>.</w:t>
            </w:r>
          </w:p>
          <w:p w14:paraId="2109655D" w14:textId="77777777" w:rsidR="0064492C" w:rsidRDefault="0064492C" w:rsidP="0064492C">
            <w:pPr>
              <w:pStyle w:val="ListParagraph"/>
            </w:pPr>
          </w:p>
          <w:p w14:paraId="78A8578E" w14:textId="339AB121" w:rsidR="0064492C" w:rsidRDefault="0064492C" w:rsidP="0064492C">
            <w:pPr>
              <w:pStyle w:val="ListParagraph"/>
              <w:numPr>
                <w:ilvl w:val="0"/>
                <w:numId w:val="2"/>
              </w:numPr>
              <w:tabs>
                <w:tab w:val="left" w:pos="1701"/>
              </w:tabs>
            </w:pPr>
            <w:r>
              <w:t xml:space="preserve">CMM </w:t>
            </w:r>
            <w:r w:rsidR="00053C71">
              <w:t xml:space="preserve">instructional </w:t>
            </w:r>
            <w:r>
              <w:t>detail may not be update</w:t>
            </w:r>
            <w:r w:rsidR="005F4CB2">
              <w:t>d</w:t>
            </w:r>
            <w:r>
              <w:t xml:space="preserve"> as a result of </w:t>
            </w:r>
            <w:r w:rsidRPr="00053C71">
              <w:t>task evolution</w:t>
            </w:r>
            <w:r>
              <w:t xml:space="preserve"> or equipment/system alterations</w:t>
            </w:r>
            <w:r w:rsidR="00053C71">
              <w:t xml:space="preserve"> (i.e., Service Bulletins, Modification summaries, etc.)</w:t>
            </w:r>
            <w:r w:rsidR="00066071">
              <w:t xml:space="preserve"> by the TCH/OEM</w:t>
            </w:r>
            <w:r w:rsidR="005F4CB2">
              <w:t xml:space="preserve">, or </w:t>
            </w:r>
            <w:r w:rsidR="00053C71">
              <w:t>incorporated by the supplier/vendor</w:t>
            </w:r>
            <w:r w:rsidR="005F4CB2">
              <w:t>.</w:t>
            </w:r>
          </w:p>
          <w:p w14:paraId="68E564C4" w14:textId="77777777" w:rsidR="0064492C" w:rsidRDefault="0064492C" w:rsidP="0064492C">
            <w:pPr>
              <w:pStyle w:val="ListParagraph"/>
            </w:pPr>
          </w:p>
          <w:p w14:paraId="3324DBC5" w14:textId="4C158BD3" w:rsidR="00364E6F" w:rsidRDefault="0064492C" w:rsidP="0064492C">
            <w:pPr>
              <w:pStyle w:val="ListParagraph"/>
              <w:numPr>
                <w:ilvl w:val="0"/>
                <w:numId w:val="2"/>
              </w:numPr>
              <w:tabs>
                <w:tab w:val="left" w:pos="1701"/>
              </w:tabs>
            </w:pPr>
            <w:r>
              <w:t xml:space="preserve">The owner/operator may not have access to the </w:t>
            </w:r>
            <w:r w:rsidR="00062602">
              <w:t xml:space="preserve">supplier/vendor </w:t>
            </w:r>
            <w:r>
              <w:t>CMM as required by CAA regulation</w:t>
            </w:r>
            <w:r w:rsidR="00062602">
              <w:t xml:space="preserve"> to provide ICAs at aircraft delivery to the owner/operator</w:t>
            </w:r>
            <w:r w:rsidR="00ED30D6">
              <w:t xml:space="preserve"> to sustain continuous airworthiness</w:t>
            </w:r>
            <w:r w:rsidR="00066071">
              <w:t>.</w:t>
            </w:r>
          </w:p>
          <w:p w14:paraId="280FE8A3" w14:textId="77777777" w:rsidR="00364E6F" w:rsidRDefault="00364E6F" w:rsidP="00364E6F">
            <w:pPr>
              <w:pStyle w:val="ListParagraph"/>
            </w:pPr>
          </w:p>
          <w:p w14:paraId="51A6039C" w14:textId="685467A5" w:rsidR="0064492C" w:rsidRDefault="00364E6F" w:rsidP="0064492C">
            <w:pPr>
              <w:pStyle w:val="ListParagraph"/>
              <w:numPr>
                <w:ilvl w:val="0"/>
                <w:numId w:val="2"/>
              </w:numPr>
              <w:tabs>
                <w:tab w:val="left" w:pos="1701"/>
              </w:tabs>
            </w:pPr>
            <w:r>
              <w:t>Owner/Operator maintenance providers may not have the</w:t>
            </w:r>
            <w:r w:rsidR="00066071">
              <w:t xml:space="preserve"> TCH/OEM</w:t>
            </w:r>
            <w:r>
              <w:t xml:space="preserve"> designated CMM</w:t>
            </w:r>
            <w:r w:rsidR="00062602">
              <w:t xml:space="preserve"> ICA’s</w:t>
            </w:r>
            <w:r>
              <w:t xml:space="preserve">, </w:t>
            </w:r>
            <w:r w:rsidR="00066071">
              <w:t xml:space="preserve">but </w:t>
            </w:r>
            <w:r>
              <w:t xml:space="preserve">instead use </w:t>
            </w:r>
            <w:r w:rsidR="0093496B">
              <w:t>other maintenance providers with</w:t>
            </w:r>
            <w:r w:rsidR="00062602">
              <w:t xml:space="preserve"> </w:t>
            </w:r>
            <w:r>
              <w:t xml:space="preserve">their own </w:t>
            </w:r>
            <w:r w:rsidR="00066071">
              <w:t xml:space="preserve">unique </w:t>
            </w:r>
            <w:r>
              <w:t xml:space="preserve">approved </w:t>
            </w:r>
            <w:r w:rsidR="00062602">
              <w:t>maintenance instructions</w:t>
            </w:r>
            <w:r>
              <w:t xml:space="preserve"> detail. </w:t>
            </w:r>
            <w:r w:rsidR="00345B23" w:rsidRPr="00062602">
              <w:t xml:space="preserve">In </w:t>
            </w:r>
            <w:r w:rsidR="00062602" w:rsidRPr="00062602">
              <w:t>these</w:t>
            </w:r>
            <w:r w:rsidR="00345B23" w:rsidRPr="00062602">
              <w:t xml:space="preserve"> </w:t>
            </w:r>
            <w:r w:rsidR="00B0206A" w:rsidRPr="00062602">
              <w:t>cases,</w:t>
            </w:r>
            <w:r w:rsidR="00345B23" w:rsidRPr="00062602">
              <w:t xml:space="preserve"> the CMM’s </w:t>
            </w:r>
            <w:r w:rsidRPr="00062602">
              <w:t xml:space="preserve">may have </w:t>
            </w:r>
            <w:r>
              <w:t>an alter</w:t>
            </w:r>
            <w:r w:rsidR="00066071">
              <w:t>nate</w:t>
            </w:r>
            <w:r>
              <w:t xml:space="preserve"> means of compliance to maint</w:t>
            </w:r>
            <w:r w:rsidR="00066071">
              <w:t>ain</w:t>
            </w:r>
            <w:r>
              <w:t xml:space="preserve"> the </w:t>
            </w:r>
            <w:r w:rsidR="00066071">
              <w:t xml:space="preserve">TSO </w:t>
            </w:r>
            <w:r>
              <w:t>article (i.e., component, part, item)</w:t>
            </w:r>
            <w:r w:rsidR="00066071">
              <w:t>, which does not address the MRBR ICA</w:t>
            </w:r>
            <w:r w:rsidR="00062602">
              <w:t xml:space="preserve"> task </w:t>
            </w:r>
            <w:r w:rsidR="00ED30D6">
              <w:t>requirements</w:t>
            </w:r>
            <w:r>
              <w:t>.</w:t>
            </w:r>
            <w:r w:rsidR="0064492C">
              <w:t xml:space="preserve"> </w:t>
            </w:r>
          </w:p>
          <w:p w14:paraId="0A09BFB0" w14:textId="77777777" w:rsidR="00364E6F" w:rsidRDefault="00364E6F" w:rsidP="00364E6F">
            <w:pPr>
              <w:pStyle w:val="ListParagraph"/>
            </w:pPr>
          </w:p>
          <w:p w14:paraId="05EDACC5" w14:textId="246BC655" w:rsidR="00364E6F" w:rsidRDefault="00066071" w:rsidP="0064492C">
            <w:pPr>
              <w:pStyle w:val="ListParagraph"/>
              <w:numPr>
                <w:ilvl w:val="0"/>
                <w:numId w:val="2"/>
              </w:numPr>
              <w:tabs>
                <w:tab w:val="left" w:pos="1701"/>
              </w:tabs>
            </w:pPr>
            <w:r>
              <w:t xml:space="preserve">The continuous airworthiness records (i.e., CAA Authorised Release Certificates) related to the work completed in accordance with the CMM </w:t>
            </w:r>
            <w:r w:rsidR="003077A2">
              <w:t xml:space="preserve">as produced by the supplier/vendor </w:t>
            </w:r>
            <w:r>
              <w:t>may not demonstrate</w:t>
            </w:r>
            <w:r w:rsidR="00DA649D">
              <w:t xml:space="preserve"> or clearly indicate</w:t>
            </w:r>
            <w:r>
              <w:t xml:space="preserve"> compliance with the TCH/OEM MRBR specific </w:t>
            </w:r>
            <w:r w:rsidR="00053C71">
              <w:t xml:space="preserve">ATA </w:t>
            </w:r>
            <w:r>
              <w:t>task(s)</w:t>
            </w:r>
            <w:r w:rsidR="003077A2">
              <w:t xml:space="preserve"> codes</w:t>
            </w:r>
            <w:r>
              <w:t>.</w:t>
            </w:r>
          </w:p>
          <w:p w14:paraId="791D4C6A" w14:textId="77777777" w:rsidR="00345B23" w:rsidRDefault="00345B23" w:rsidP="00345B23">
            <w:pPr>
              <w:pStyle w:val="ListParagraph"/>
            </w:pPr>
          </w:p>
          <w:p w14:paraId="0ED5EBA3" w14:textId="77777777" w:rsidR="0081568F" w:rsidRPr="009C729C" w:rsidRDefault="00345B23" w:rsidP="0081568F">
            <w:pPr>
              <w:pStyle w:val="ListParagraph"/>
              <w:numPr>
                <w:ilvl w:val="0"/>
                <w:numId w:val="2"/>
              </w:numPr>
              <w:tabs>
                <w:tab w:val="left" w:pos="1701"/>
              </w:tabs>
            </w:pPr>
            <w:r w:rsidRPr="009C729C">
              <w:t>The continuous airworthiness records provided to the operator by the supplier/vendor may have CMM detail referenced that does not match the specific instructions in the TCH/OEM ICA (i.e., MRBR ATA task code)</w:t>
            </w:r>
          </w:p>
          <w:p w14:paraId="3FBD86BC" w14:textId="77777777" w:rsidR="0081568F" w:rsidRPr="009C729C" w:rsidRDefault="0081568F" w:rsidP="0081568F">
            <w:pPr>
              <w:pStyle w:val="ListParagraph"/>
            </w:pPr>
          </w:p>
          <w:p w14:paraId="2587228F" w14:textId="77777777" w:rsidR="00053C71" w:rsidRDefault="0081568F" w:rsidP="00053C71">
            <w:pPr>
              <w:pStyle w:val="ListParagraph"/>
              <w:numPr>
                <w:ilvl w:val="0"/>
                <w:numId w:val="2"/>
              </w:numPr>
              <w:tabs>
                <w:tab w:val="left" w:pos="1701"/>
              </w:tabs>
            </w:pPr>
            <w:r w:rsidRPr="009C729C">
              <w:t>For common commercial parts (i.e., TSO parts) used between multiple TCH/OEM</w:t>
            </w:r>
            <w:r w:rsidR="009C729C">
              <w:t xml:space="preserve"> aircraft types the</w:t>
            </w:r>
            <w:r w:rsidRPr="009C729C">
              <w:t xml:space="preserve"> </w:t>
            </w:r>
            <w:r w:rsidR="009C729C">
              <w:t>“</w:t>
            </w:r>
            <w:r w:rsidRPr="009C729C">
              <w:t>Off-Aircraft</w:t>
            </w:r>
            <w:r w:rsidR="009C729C">
              <w:t>”</w:t>
            </w:r>
            <w:r w:rsidRPr="009C729C">
              <w:t xml:space="preserve"> MRB task requirements and TCH/OEM ICA instructions may be different in requirements and scope for each </w:t>
            </w:r>
            <w:r w:rsidR="005F4CB2" w:rsidRPr="009C729C">
              <w:t>T</w:t>
            </w:r>
            <w:r w:rsidRPr="009C729C">
              <w:t>CH/OEM</w:t>
            </w:r>
            <w:r w:rsidR="009C729C">
              <w:t xml:space="preserve"> MRBR task</w:t>
            </w:r>
            <w:r w:rsidRPr="009C729C">
              <w:t xml:space="preserve"> (i.e., gas regulators, </w:t>
            </w:r>
            <w:r w:rsidR="009C729C">
              <w:t xml:space="preserve">valves, </w:t>
            </w:r>
            <w:r w:rsidRPr="009C729C">
              <w:t>landing gear, starters, ELT, FDR, etc.</w:t>
            </w:r>
            <w:r w:rsidR="00901FBC" w:rsidRPr="009C729C">
              <w:t>)</w:t>
            </w:r>
            <w:r w:rsidR="009C729C">
              <w:t>.</w:t>
            </w:r>
          </w:p>
          <w:p w14:paraId="4C45925A" w14:textId="77777777" w:rsidR="00053C71" w:rsidRDefault="00053C71" w:rsidP="00ED30D6">
            <w:pPr>
              <w:pStyle w:val="ListParagraph"/>
            </w:pPr>
          </w:p>
          <w:p w14:paraId="67FC7546" w14:textId="02B26A30" w:rsidR="00ED30D6" w:rsidRDefault="00053C71" w:rsidP="00ED30D6">
            <w:pPr>
              <w:pStyle w:val="ListParagraph"/>
              <w:numPr>
                <w:ilvl w:val="0"/>
                <w:numId w:val="2"/>
              </w:numPr>
              <w:tabs>
                <w:tab w:val="left" w:pos="882"/>
              </w:tabs>
            </w:pPr>
            <w:r>
              <w:t xml:space="preserve">Aircraft and maintenance program surveillance is difficult or </w:t>
            </w:r>
            <w:r w:rsidR="00ED30D6">
              <w:t xml:space="preserve">can be </w:t>
            </w:r>
            <w:r>
              <w:t xml:space="preserve">incomplete as access and reference to the </w:t>
            </w:r>
            <w:r w:rsidR="00ED30D6">
              <w:t xml:space="preserve">current </w:t>
            </w:r>
            <w:r>
              <w:t xml:space="preserve">source documents may not be </w:t>
            </w:r>
            <w:r w:rsidR="00ED30D6">
              <w:t xml:space="preserve">readily </w:t>
            </w:r>
            <w:r>
              <w:t>available.</w:t>
            </w:r>
            <w:r w:rsidR="00ED30D6">
              <w:br/>
            </w:r>
          </w:p>
          <w:p w14:paraId="01E5B568" w14:textId="732677A5" w:rsidR="00196B7D" w:rsidRPr="009C729C" w:rsidRDefault="009570C1" w:rsidP="00ED30D6">
            <w:pPr>
              <w:pStyle w:val="ListParagraph"/>
              <w:numPr>
                <w:ilvl w:val="0"/>
                <w:numId w:val="2"/>
              </w:numPr>
              <w:tabs>
                <w:tab w:val="left" w:pos="882"/>
              </w:tabs>
            </w:pPr>
            <w:r w:rsidRPr="00A8680D">
              <w:t>MRB/ISC</w:t>
            </w:r>
            <w:r w:rsidR="00FD0355" w:rsidRPr="00A8680D">
              <w:t xml:space="preserve"> </w:t>
            </w:r>
            <w:r w:rsidR="00053C71" w:rsidRPr="00A8680D">
              <w:t xml:space="preserve">MRBR Periodic audits </w:t>
            </w:r>
            <w:r w:rsidR="00FD0355" w:rsidRPr="00A8680D">
              <w:t>requirements</w:t>
            </w:r>
            <w:r w:rsidR="00053C71" w:rsidRPr="00A8680D">
              <w:t xml:space="preserve"> </w:t>
            </w:r>
            <w:r w:rsidRPr="00A8680D">
              <w:t xml:space="preserve">as listed in IMPS 9.2 </w:t>
            </w:r>
            <w:r w:rsidR="00053C71" w:rsidRPr="00A8680D">
              <w:t>do</w:t>
            </w:r>
            <w:r w:rsidR="007E71B4" w:rsidRPr="00A8680D">
              <w:t>es</w:t>
            </w:r>
            <w:r w:rsidR="00053C71" w:rsidRPr="00A8680D">
              <w:t xml:space="preserve"> </w:t>
            </w:r>
            <w:r w:rsidR="007E71B4" w:rsidRPr="00A8680D">
              <w:t xml:space="preserve">not </w:t>
            </w:r>
            <w:r w:rsidR="00053C71" w:rsidRPr="00A8680D">
              <w:t xml:space="preserve">list </w:t>
            </w:r>
            <w:r w:rsidR="00FD0355" w:rsidRPr="00A8680D">
              <w:t>a</w:t>
            </w:r>
            <w:r w:rsidR="007E71B4" w:rsidRPr="00A8680D">
              <w:t xml:space="preserve"> line item</w:t>
            </w:r>
            <w:r w:rsidR="00FD0355" w:rsidRPr="00A8680D">
              <w:t xml:space="preserve"> to review outsourced MRBR ICAs to ensure sustaining compliance with the </w:t>
            </w:r>
            <w:r w:rsidR="007E71B4" w:rsidRPr="00A8680D">
              <w:t xml:space="preserve">MRBR </w:t>
            </w:r>
            <w:r w:rsidR="00FD0355" w:rsidRPr="00A8680D">
              <w:t>task requirements</w:t>
            </w:r>
            <w:r w:rsidRPr="00A8680D">
              <w:t xml:space="preserve"> while</w:t>
            </w:r>
            <w:r w:rsidR="007E71B4" w:rsidRPr="00A8680D">
              <w:t xml:space="preserve"> also ensuring data collection to validate the efficacy of the task(s)</w:t>
            </w:r>
            <w:r w:rsidR="00FD0355" w:rsidRPr="00A8680D">
              <w:t>.</w:t>
            </w:r>
          </w:p>
          <w:p w14:paraId="49FFE5BC" w14:textId="6C9C7B87" w:rsidR="00345B23" w:rsidRPr="009224EE" w:rsidRDefault="00345B23" w:rsidP="0081568F">
            <w:pPr>
              <w:pStyle w:val="ListParagraph"/>
              <w:tabs>
                <w:tab w:val="left" w:pos="1701"/>
              </w:tabs>
              <w:ind w:left="612"/>
              <w:rPr>
                <w:color w:val="0070C0"/>
              </w:rPr>
            </w:pPr>
          </w:p>
          <w:p w14:paraId="5598CAB5" w14:textId="2FA7D0EE" w:rsidR="0064492C" w:rsidRDefault="0064492C" w:rsidP="0064492C">
            <w:pPr>
              <w:tabs>
                <w:tab w:val="left" w:pos="1701"/>
              </w:tabs>
              <w:ind w:left="-108"/>
            </w:pPr>
          </w:p>
        </w:tc>
      </w:tr>
      <w:tr w:rsidR="00AE72C0" w14:paraId="63727500" w14:textId="77777777" w:rsidTr="00C6557C">
        <w:trPr>
          <w:trHeight w:val="60"/>
        </w:trPr>
        <w:tc>
          <w:tcPr>
            <w:tcW w:w="9075" w:type="dxa"/>
            <w:gridSpan w:val="5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4E473C6" w14:textId="77777777" w:rsidR="00AE72C0" w:rsidRDefault="00AE72C0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  <w:p w14:paraId="212D5715" w14:textId="77777777" w:rsidR="00AC7F4A" w:rsidRPr="00AE72C0" w:rsidRDefault="00AC7F4A" w:rsidP="00AC7F4A">
            <w:pPr>
              <w:tabs>
                <w:tab w:val="left" w:pos="1701"/>
              </w:tabs>
              <w:jc w:val="both"/>
              <w:rPr>
                <w:b/>
              </w:rPr>
            </w:pPr>
          </w:p>
        </w:tc>
      </w:tr>
      <w:tr w:rsidR="000B79BE" w14:paraId="3CDB9BC3" w14:textId="77777777" w:rsidTr="00C6557C">
        <w:trPr>
          <w:trHeight w:val="60"/>
        </w:trPr>
        <w:tc>
          <w:tcPr>
            <w:tcW w:w="9075" w:type="dxa"/>
            <w:gridSpan w:val="5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8FF7FEE" w14:textId="77777777" w:rsidR="000B79BE" w:rsidRDefault="000B79BE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Recommendation (including Implementation):</w:t>
            </w:r>
          </w:p>
        </w:tc>
      </w:tr>
      <w:tr w:rsidR="00AE72C0" w14:paraId="45E60E2B" w14:textId="77777777" w:rsidTr="00C6557C">
        <w:trPr>
          <w:trHeight w:val="1656"/>
        </w:trPr>
        <w:tc>
          <w:tcPr>
            <w:tcW w:w="9075" w:type="dxa"/>
            <w:gridSpan w:val="5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5E39F3" w14:textId="04101B82" w:rsidR="00C830A4" w:rsidRDefault="009570C1" w:rsidP="00A84903">
            <w:pPr>
              <w:tabs>
                <w:tab w:val="left" w:pos="1701"/>
              </w:tabs>
              <w:ind w:left="-108"/>
            </w:pPr>
            <w:r>
              <w:t xml:space="preserve">In comment, within the problem statement above some of the problems are directly related to the MSG-3/MRB/ISC policies, process and procedures while others are indirectly related </w:t>
            </w:r>
            <w:r w:rsidR="00C830A4">
              <w:t xml:space="preserve">to </w:t>
            </w:r>
            <w:r>
              <w:t>or a</w:t>
            </w:r>
            <w:r w:rsidR="00C830A4">
              <w:t>re a</w:t>
            </w:r>
            <w:r>
              <w:t xml:space="preserve"> consequence of not having guidance to address the “Issue” statement</w:t>
            </w:r>
            <w:r w:rsidR="00C830A4">
              <w:t>.</w:t>
            </w:r>
            <w:r>
              <w:t xml:space="preserve"> </w:t>
            </w:r>
          </w:p>
          <w:p w14:paraId="4BE19FC4" w14:textId="77777777" w:rsidR="00C830A4" w:rsidRDefault="00C830A4" w:rsidP="00A84903">
            <w:pPr>
              <w:tabs>
                <w:tab w:val="left" w:pos="1701"/>
              </w:tabs>
              <w:ind w:left="-108"/>
            </w:pPr>
          </w:p>
          <w:p w14:paraId="78D2E236" w14:textId="12E10164" w:rsidR="00AE72C0" w:rsidRDefault="000D6C33" w:rsidP="00A84903">
            <w:pPr>
              <w:tabs>
                <w:tab w:val="left" w:pos="1701"/>
              </w:tabs>
              <w:ind w:left="-108"/>
            </w:pPr>
            <w:r>
              <w:t xml:space="preserve">Add additional guidance in </w:t>
            </w:r>
            <w:r w:rsidR="00AF70CD">
              <w:t>two</w:t>
            </w:r>
            <w:r>
              <w:t xml:space="preserve"> sections of the IMPS document which address</w:t>
            </w:r>
            <w:r w:rsidR="00AF70CD">
              <w:t xml:space="preserve"> the p</w:t>
            </w:r>
            <w:r w:rsidR="00AC7F4A">
              <w:t>olic</w:t>
            </w:r>
            <w:r w:rsidR="00AF70CD">
              <w:t>ies</w:t>
            </w:r>
            <w:r w:rsidR="00AC7F4A">
              <w:t xml:space="preserve"> related to the </w:t>
            </w:r>
            <w:r w:rsidR="007957CF">
              <w:t xml:space="preserve">development </w:t>
            </w:r>
            <w:r w:rsidR="00AC7F4A">
              <w:t xml:space="preserve">and reference to </w:t>
            </w:r>
            <w:r w:rsidR="00183A25">
              <w:t>ICA</w:t>
            </w:r>
            <w:r w:rsidR="007957CF">
              <w:t xml:space="preserve"> traceability</w:t>
            </w:r>
            <w:r>
              <w:t>. The additions are</w:t>
            </w:r>
            <w:r w:rsidR="00183A25">
              <w:t xml:space="preserve"> directly under the purview of the </w:t>
            </w:r>
            <w:r w:rsidR="00AC7F4A">
              <w:t>IMRBPB IMPS</w:t>
            </w:r>
            <w:r w:rsidR="00D50A00">
              <w:t xml:space="preserve"> </w:t>
            </w:r>
            <w:r w:rsidR="00183A25">
              <w:t xml:space="preserve">document and directed by </w:t>
            </w:r>
            <w:r w:rsidR="00AF70CD">
              <w:t xml:space="preserve">the requirements </w:t>
            </w:r>
            <w:r w:rsidR="007957CF">
              <w:t xml:space="preserve">of </w:t>
            </w:r>
            <w:r w:rsidR="00AF70CD" w:rsidRPr="003D136B">
              <w:t>2</w:t>
            </w:r>
            <w:r w:rsidR="00AF70CD" w:rsidRPr="00CE218C">
              <w:t>-1-2. Approach</w:t>
            </w:r>
            <w:r w:rsidR="00AF70CD">
              <w:t xml:space="preserve"> 3.) </w:t>
            </w:r>
            <w:r w:rsidR="00AF70CD" w:rsidRPr="00044413">
              <w:t>Method for Scheduled Maintenance Development</w:t>
            </w:r>
            <w:r w:rsidR="007957CF">
              <w:t>.</w:t>
            </w:r>
          </w:p>
          <w:p w14:paraId="3BAAE548" w14:textId="77777777" w:rsidR="00D50A00" w:rsidRDefault="00D50A00" w:rsidP="00A84903">
            <w:pPr>
              <w:tabs>
                <w:tab w:val="left" w:pos="1701"/>
              </w:tabs>
              <w:ind w:left="-108"/>
            </w:pPr>
          </w:p>
          <w:p w14:paraId="1059C5BA" w14:textId="2E35DE1A" w:rsidR="00D76F0C" w:rsidRDefault="00D76F0C" w:rsidP="00A84903">
            <w:pPr>
              <w:tabs>
                <w:tab w:val="left" w:pos="1701"/>
              </w:tabs>
              <w:ind w:left="-108"/>
              <w:rPr>
                <w:b/>
                <w:bCs/>
              </w:rPr>
            </w:pPr>
            <w:r w:rsidRPr="00F804E5">
              <w:rPr>
                <w:b/>
                <w:bCs/>
              </w:rPr>
              <w:t xml:space="preserve">IMPS Revision: </w:t>
            </w:r>
          </w:p>
          <w:p w14:paraId="03695D52" w14:textId="77777777" w:rsidR="00C830A4" w:rsidRDefault="00C830A4" w:rsidP="00A84903">
            <w:pPr>
              <w:tabs>
                <w:tab w:val="left" w:pos="1701"/>
              </w:tabs>
              <w:ind w:left="-108"/>
              <w:rPr>
                <w:b/>
                <w:bCs/>
              </w:rPr>
            </w:pPr>
          </w:p>
          <w:p w14:paraId="36DE8CDD" w14:textId="41782AA8" w:rsidR="007957CF" w:rsidRPr="00CA6859" w:rsidRDefault="00F10628" w:rsidP="00A84903">
            <w:pPr>
              <w:tabs>
                <w:tab w:val="left" w:pos="1701"/>
              </w:tabs>
              <w:ind w:left="-108"/>
              <w:rPr>
                <w:color w:val="0070C0"/>
              </w:rPr>
            </w:pPr>
            <w:r>
              <w:rPr>
                <w:color w:val="0070C0"/>
              </w:rPr>
              <w:t>3.8</w:t>
            </w:r>
          </w:p>
          <w:p w14:paraId="1EB3FF30" w14:textId="77777777" w:rsidR="007957CF" w:rsidRPr="00CA6859" w:rsidRDefault="007957CF" w:rsidP="00A84903">
            <w:pPr>
              <w:tabs>
                <w:tab w:val="left" w:pos="1701"/>
              </w:tabs>
              <w:ind w:left="-108"/>
              <w:rPr>
                <w:color w:val="0070C0"/>
              </w:rPr>
            </w:pPr>
          </w:p>
          <w:p w14:paraId="7B32D37D" w14:textId="0D19A710" w:rsidR="00C830A4" w:rsidRPr="00CA6859" w:rsidRDefault="007957CF" w:rsidP="00CA6859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CA6859">
              <w:rPr>
                <w:color w:val="0070C0"/>
              </w:rPr>
              <w:t>The OEM/TCH must propose to the MRB/MTB a process to ensure that, for all MRBR/MTBR ICA</w:t>
            </w:r>
            <w:r w:rsidR="000605A4" w:rsidRPr="00CA6859">
              <w:rPr>
                <w:color w:val="0070C0"/>
              </w:rPr>
              <w:t>s</w:t>
            </w:r>
            <w:r w:rsidR="00F10628">
              <w:rPr>
                <w:color w:val="0070C0"/>
              </w:rPr>
              <w:t>,</w:t>
            </w:r>
            <w:r w:rsidRPr="00CA6859">
              <w:rPr>
                <w:color w:val="0070C0"/>
              </w:rPr>
              <w:t xml:space="preserve"> the traceability to the task scope, task intent and task </w:t>
            </w:r>
            <w:r w:rsidR="000605A4" w:rsidRPr="00CA6859">
              <w:rPr>
                <w:color w:val="0070C0"/>
              </w:rPr>
              <w:t>identification (i.e</w:t>
            </w:r>
            <w:r w:rsidR="000605A4" w:rsidRPr="00A8680D">
              <w:rPr>
                <w:color w:val="0070C0"/>
              </w:rPr>
              <w:t>., ATA Code) is sustained for both ICA’s published in OEM/TCH documents and vendor/</w:t>
            </w:r>
            <w:r w:rsidR="00826C73" w:rsidRPr="00A8680D">
              <w:rPr>
                <w:color w:val="0070C0"/>
              </w:rPr>
              <w:t xml:space="preserve">supplier </w:t>
            </w:r>
            <w:r w:rsidR="000605A4" w:rsidRPr="00A8680D">
              <w:rPr>
                <w:color w:val="0070C0"/>
              </w:rPr>
              <w:t>source</w:t>
            </w:r>
            <w:r w:rsidR="000605A4" w:rsidRPr="00CA6859">
              <w:rPr>
                <w:color w:val="0070C0"/>
              </w:rPr>
              <w:t xml:space="preserve"> data documents (</w:t>
            </w:r>
            <w:r w:rsidR="00826C73" w:rsidRPr="00CA6859">
              <w:rPr>
                <w:color w:val="0070C0"/>
              </w:rPr>
              <w:t>e</w:t>
            </w:r>
            <w:r w:rsidR="000605A4" w:rsidRPr="00CA6859">
              <w:rPr>
                <w:color w:val="0070C0"/>
              </w:rPr>
              <w:t>.</w:t>
            </w:r>
            <w:r w:rsidR="00826C73" w:rsidRPr="00CA6859">
              <w:rPr>
                <w:color w:val="0070C0"/>
              </w:rPr>
              <w:t>g</w:t>
            </w:r>
            <w:r w:rsidR="000605A4" w:rsidRPr="00CA6859">
              <w:rPr>
                <w:color w:val="0070C0"/>
              </w:rPr>
              <w:t xml:space="preserve">., CMM, EMM, </w:t>
            </w:r>
            <w:r w:rsidR="00A8680D" w:rsidRPr="00CA6859">
              <w:rPr>
                <w:color w:val="0070C0"/>
              </w:rPr>
              <w:t>etc</w:t>
            </w:r>
            <w:r w:rsidR="00A8680D">
              <w:rPr>
                <w:color w:val="0070C0"/>
              </w:rPr>
              <w:t>.)</w:t>
            </w:r>
            <w:r w:rsidR="00A8680D" w:rsidRPr="00CA6859">
              <w:rPr>
                <w:color w:val="0070C0"/>
              </w:rPr>
              <w:t xml:space="preserve"> The</w:t>
            </w:r>
            <w:r w:rsidRPr="00CA6859">
              <w:rPr>
                <w:color w:val="0070C0"/>
              </w:rPr>
              <w:t xml:space="preserve"> process shall be </w:t>
            </w:r>
            <w:r w:rsidR="00826C73" w:rsidRPr="00CA6859">
              <w:rPr>
                <w:color w:val="0070C0"/>
              </w:rPr>
              <w:t xml:space="preserve">documented or referenced in the PPH after acceptance by the MRB/MTB and </w:t>
            </w:r>
            <w:r w:rsidRPr="00CA6859">
              <w:rPr>
                <w:color w:val="0070C0"/>
              </w:rPr>
              <w:t xml:space="preserve">in place for initial certification as well as </w:t>
            </w:r>
            <w:r w:rsidR="00826C73" w:rsidRPr="00CA6859">
              <w:rPr>
                <w:color w:val="0070C0"/>
              </w:rPr>
              <w:t xml:space="preserve">continuing </w:t>
            </w:r>
            <w:r w:rsidR="00CA6859">
              <w:rPr>
                <w:color w:val="0070C0"/>
              </w:rPr>
              <w:t xml:space="preserve">MRBR/MTBR </w:t>
            </w:r>
            <w:r w:rsidR="00826C73" w:rsidRPr="00CA6859">
              <w:rPr>
                <w:color w:val="0070C0"/>
              </w:rPr>
              <w:t>ICA management.</w:t>
            </w:r>
            <w:r w:rsidR="000605A4" w:rsidRPr="00CA6859">
              <w:rPr>
                <w:color w:val="0070C0"/>
              </w:rPr>
              <w:t xml:space="preserve"> </w:t>
            </w:r>
          </w:p>
          <w:p w14:paraId="186ABC70" w14:textId="77777777" w:rsidR="00D76F0C" w:rsidRPr="00CA6859" w:rsidRDefault="00D76F0C" w:rsidP="00A84903">
            <w:pPr>
              <w:tabs>
                <w:tab w:val="left" w:pos="1701"/>
              </w:tabs>
              <w:ind w:left="-108"/>
              <w:rPr>
                <w:color w:val="0070C0"/>
              </w:rPr>
            </w:pPr>
          </w:p>
          <w:p w14:paraId="1709262C" w14:textId="77777777" w:rsidR="000605A4" w:rsidRPr="00CA6859" w:rsidRDefault="000605A4" w:rsidP="00A84903">
            <w:pPr>
              <w:tabs>
                <w:tab w:val="left" w:pos="1701"/>
              </w:tabs>
              <w:ind w:left="-108"/>
              <w:rPr>
                <w:color w:val="0070C0"/>
              </w:rPr>
            </w:pPr>
          </w:p>
          <w:p w14:paraId="2EECF9B0" w14:textId="3F4DD5C6" w:rsidR="000605A4" w:rsidRPr="00CA6859" w:rsidRDefault="000605A4" w:rsidP="00A84903">
            <w:pPr>
              <w:tabs>
                <w:tab w:val="left" w:pos="1701"/>
              </w:tabs>
              <w:ind w:left="-108"/>
              <w:rPr>
                <w:color w:val="0070C0"/>
              </w:rPr>
            </w:pPr>
            <w:r w:rsidRPr="00CA6859">
              <w:rPr>
                <w:color w:val="0070C0"/>
              </w:rPr>
              <w:t xml:space="preserve">9.2 Periodic Review Minimum content of a Periodic Review </w:t>
            </w:r>
          </w:p>
          <w:p w14:paraId="5AD4F559" w14:textId="77777777" w:rsidR="002107E7" w:rsidRPr="00CA6859" w:rsidRDefault="002107E7" w:rsidP="00A84903">
            <w:pPr>
              <w:tabs>
                <w:tab w:val="left" w:pos="1701"/>
              </w:tabs>
              <w:ind w:left="-108"/>
              <w:rPr>
                <w:color w:val="0070C0"/>
              </w:rPr>
            </w:pPr>
          </w:p>
          <w:p w14:paraId="4FF35A8F" w14:textId="5C341A2D" w:rsidR="00D76F0C" w:rsidRDefault="002107E7" w:rsidP="00A84903">
            <w:pPr>
              <w:tabs>
                <w:tab w:val="left" w:pos="1701"/>
              </w:tabs>
              <w:ind w:left="-108"/>
            </w:pPr>
            <w:r w:rsidRPr="00E92BB7">
              <w:rPr>
                <w:color w:val="0070C0"/>
              </w:rPr>
              <w:t xml:space="preserve">Review of MRBR/MTBR ICAs published in vendor/supplier source data documents (e.g., CMM) to validate alignment with or equivalency to </w:t>
            </w:r>
            <w:r w:rsidR="00E80A91" w:rsidRPr="00E92BB7">
              <w:rPr>
                <w:color w:val="0070C0"/>
              </w:rPr>
              <w:t xml:space="preserve">the </w:t>
            </w:r>
            <w:r w:rsidRPr="00E92BB7">
              <w:rPr>
                <w:color w:val="0070C0"/>
              </w:rPr>
              <w:t>MSG-3 logic selected task type, intent and scope.</w:t>
            </w:r>
          </w:p>
        </w:tc>
      </w:tr>
    </w:tbl>
    <w:p w14:paraId="25BA68E1" w14:textId="77777777" w:rsidR="00CF38BF" w:rsidRDefault="00CF38BF">
      <w:r>
        <w:br w:type="page"/>
      </w: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6"/>
        <w:gridCol w:w="6381"/>
      </w:tblGrid>
      <w:tr w:rsidR="000B79BE" w14:paraId="396423B3" w14:textId="77777777" w:rsidTr="00CF38BF">
        <w:trPr>
          <w:trHeight w:val="70"/>
        </w:trPr>
        <w:tc>
          <w:tcPr>
            <w:tcW w:w="9075" w:type="dxa"/>
            <w:gridSpan w:val="3"/>
            <w:tcBorders>
              <w:bottom w:val="single" w:sz="4" w:space="0" w:color="auto"/>
            </w:tcBorders>
          </w:tcPr>
          <w:p w14:paraId="7B5650BC" w14:textId="77777777" w:rsidR="000B79BE" w:rsidRDefault="000B79BE" w:rsidP="00C6557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AE72C0" w14:paraId="74A7A390" w14:textId="77777777" w:rsidTr="00CF38BF">
        <w:trPr>
          <w:trHeight w:val="562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51BA56FA" w14:textId="77777777" w:rsidR="00AE72C0" w:rsidRPr="00AE72C0" w:rsidRDefault="00AE72C0" w:rsidP="00C6557C">
            <w:pPr>
              <w:tabs>
                <w:tab w:val="left" w:pos="1701"/>
              </w:tabs>
              <w:ind w:left="-108"/>
              <w:jc w:val="center"/>
              <w:rPr>
                <w:b/>
              </w:rPr>
            </w:pPr>
            <w:r w:rsidRPr="00AE72C0">
              <w:rPr>
                <w:b/>
              </w:rPr>
              <w:t>IMRBPB Position:</w:t>
            </w:r>
          </w:p>
        </w:tc>
      </w:tr>
      <w:tr w:rsidR="00AE72C0" w14:paraId="1E605559" w14:textId="77777777" w:rsidTr="00CF38BF">
        <w:trPr>
          <w:trHeight w:val="552"/>
        </w:trPr>
        <w:tc>
          <w:tcPr>
            <w:tcW w:w="2268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3AB6FC" w14:textId="77777777" w:rsidR="00AE72C0" w:rsidRDefault="00AE72C0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br w:type="page"/>
            </w:r>
            <w:r w:rsidRPr="00AE72C0">
              <w:rPr>
                <w:b/>
              </w:rPr>
              <w:t>Date:</w:t>
            </w:r>
          </w:p>
        </w:tc>
        <w:tc>
          <w:tcPr>
            <w:tcW w:w="680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D8ABC23" w14:textId="77777777" w:rsidR="00AE72C0" w:rsidRDefault="00AE72C0" w:rsidP="00C6557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AE72C0" w14:paraId="2824895D" w14:textId="77777777" w:rsidTr="00CF38BF">
        <w:trPr>
          <w:trHeight w:val="552"/>
        </w:trPr>
        <w:tc>
          <w:tcPr>
            <w:tcW w:w="2268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B6E782" w14:textId="77777777" w:rsidR="00AE72C0" w:rsidRDefault="00AE72C0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 w:rsidRPr="00AE72C0">
              <w:rPr>
                <w:b/>
              </w:rPr>
              <w:t>Position:</w:t>
            </w:r>
          </w:p>
        </w:tc>
        <w:tc>
          <w:tcPr>
            <w:tcW w:w="680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DC5E90" w14:textId="77777777" w:rsidR="00AE72C0" w:rsidRDefault="00AE72C0" w:rsidP="00C6557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AE72C0" w14:paraId="47DA7B2A" w14:textId="77777777" w:rsidTr="00CF38BF">
        <w:trPr>
          <w:trHeight w:val="552"/>
        </w:trPr>
        <w:tc>
          <w:tcPr>
            <w:tcW w:w="2268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14:paraId="1CB68077" w14:textId="77777777" w:rsidR="00AE72C0" w:rsidRPr="00AE72C0" w:rsidRDefault="00AE72C0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 w:rsidRPr="00AE72C0">
              <w:rPr>
                <w:b/>
              </w:rPr>
              <w:t>Recommendation for Implementation:</w:t>
            </w:r>
          </w:p>
        </w:tc>
        <w:tc>
          <w:tcPr>
            <w:tcW w:w="680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06B1A3E" w14:textId="77777777" w:rsidR="00AE72C0" w:rsidRDefault="00AE72C0" w:rsidP="00C6557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6A48CE" w14:paraId="44021E95" w14:textId="77777777" w:rsidTr="00CF38BF">
        <w:trPr>
          <w:trHeight w:val="50"/>
        </w:trPr>
        <w:tc>
          <w:tcPr>
            <w:tcW w:w="9075" w:type="dxa"/>
            <w:gridSpan w:val="3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23B3CE68" w14:textId="77777777" w:rsidR="006A48CE" w:rsidRDefault="006A48CE" w:rsidP="00C6557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AE72C0" w14:paraId="578B02F2" w14:textId="77777777" w:rsidTr="00CF38BF">
        <w:trPr>
          <w:trHeight w:val="82"/>
        </w:trPr>
        <w:tc>
          <w:tcPr>
            <w:tcW w:w="2268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05C19D1" w14:textId="77777777" w:rsidR="00AE72C0" w:rsidRDefault="00C6557C" w:rsidP="00792033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 xml:space="preserve">Status of </w:t>
            </w:r>
            <w:r w:rsidR="00792033">
              <w:rPr>
                <w:b/>
              </w:rPr>
              <w:t xml:space="preserve">the </w:t>
            </w:r>
            <w:r>
              <w:rPr>
                <w:b/>
              </w:rPr>
              <w:t>Issue Paper:</w:t>
            </w:r>
          </w:p>
          <w:p w14:paraId="085718AF" w14:textId="77777777" w:rsidR="00C6557C" w:rsidRDefault="00C6557C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9611" w14:textId="77777777" w:rsidR="00AE72C0" w:rsidRDefault="00903E64" w:rsidP="00DD75BA">
            <w:pPr>
              <w:tabs>
                <w:tab w:val="left" w:pos="1701"/>
              </w:tabs>
              <w:ind w:left="-108"/>
              <w:jc w:val="center"/>
            </w:pPr>
            <w:r>
              <w:t>X</w:t>
            </w:r>
          </w:p>
        </w:tc>
        <w:tc>
          <w:tcPr>
            <w:tcW w:w="638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E3BCF42" w14:textId="77777777" w:rsidR="00AE72C0" w:rsidRDefault="00AE72C0" w:rsidP="00C6557C">
            <w:pPr>
              <w:tabs>
                <w:tab w:val="left" w:pos="1701"/>
              </w:tabs>
              <w:ind w:left="33"/>
              <w:jc w:val="both"/>
            </w:pPr>
            <w:r>
              <w:t>Active</w:t>
            </w:r>
          </w:p>
        </w:tc>
      </w:tr>
      <w:tr w:rsidR="00AE72C0" w14:paraId="619EE7D3" w14:textId="77777777" w:rsidTr="00CF38BF">
        <w:trPr>
          <w:trHeight w:val="82"/>
        </w:trPr>
        <w:tc>
          <w:tcPr>
            <w:tcW w:w="2268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AFCF461" w14:textId="77777777" w:rsidR="00AE72C0" w:rsidRDefault="00AE72C0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E762" w14:textId="7E259711" w:rsidR="00AE72C0" w:rsidRDefault="00AE72C0" w:rsidP="00DD75BA">
            <w:pPr>
              <w:tabs>
                <w:tab w:val="left" w:pos="1701"/>
              </w:tabs>
              <w:ind w:left="-108"/>
              <w:jc w:val="center"/>
            </w:pPr>
          </w:p>
        </w:tc>
        <w:tc>
          <w:tcPr>
            <w:tcW w:w="638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B472A4" w14:textId="77777777" w:rsidR="00AE72C0" w:rsidRDefault="00AE72C0" w:rsidP="00C6557C">
            <w:pPr>
              <w:tabs>
                <w:tab w:val="left" w:pos="1701"/>
              </w:tabs>
              <w:ind w:left="33"/>
              <w:jc w:val="both"/>
            </w:pPr>
            <w:r>
              <w:t>Incorporated in MSG-3 / IMPS (with details)</w:t>
            </w:r>
          </w:p>
        </w:tc>
      </w:tr>
      <w:tr w:rsidR="00AE72C0" w14:paraId="18BF1846" w14:textId="77777777" w:rsidTr="00CF38BF">
        <w:trPr>
          <w:trHeight w:val="82"/>
        </w:trPr>
        <w:tc>
          <w:tcPr>
            <w:tcW w:w="2268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830795F" w14:textId="77777777" w:rsidR="00AE72C0" w:rsidRDefault="00AE72C0" w:rsidP="00C6557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04AE" w14:textId="03C5D70C" w:rsidR="00AE72C0" w:rsidRDefault="00AE72C0" w:rsidP="00DD75BA">
            <w:pPr>
              <w:tabs>
                <w:tab w:val="left" w:pos="1701"/>
              </w:tabs>
              <w:ind w:left="-108"/>
              <w:jc w:val="center"/>
            </w:pPr>
          </w:p>
        </w:tc>
        <w:tc>
          <w:tcPr>
            <w:tcW w:w="638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69978E1" w14:textId="77777777" w:rsidR="00AE72C0" w:rsidRDefault="00AE72C0" w:rsidP="00C6557C">
            <w:pPr>
              <w:tabs>
                <w:tab w:val="left" w:pos="1701"/>
              </w:tabs>
              <w:ind w:left="33"/>
              <w:jc w:val="both"/>
            </w:pPr>
            <w:r>
              <w:t>Archived</w:t>
            </w:r>
          </w:p>
        </w:tc>
      </w:tr>
    </w:tbl>
    <w:p w14:paraId="7612E24F" w14:textId="77777777" w:rsidR="005B3C2A" w:rsidRDefault="005B3C2A">
      <w:pPr>
        <w:tabs>
          <w:tab w:val="left" w:pos="810"/>
        </w:tabs>
        <w:ind w:left="2160" w:hanging="2160"/>
        <w:rPr>
          <w:lang w:val="en-US"/>
        </w:rPr>
      </w:pPr>
    </w:p>
    <w:p w14:paraId="16CC5764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3EFEAE8E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568DB9FE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29CE25B5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24360948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79B22DFE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3D7A8FDD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3C0C42B5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575AC701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7066826A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28D3B8DF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7B44EA1A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2FD197C0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137197DF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20A5380E" w14:textId="77777777" w:rsidR="00364E6F" w:rsidRDefault="00364E6F">
      <w:pPr>
        <w:tabs>
          <w:tab w:val="left" w:pos="810"/>
        </w:tabs>
        <w:ind w:left="2160" w:hanging="2160"/>
        <w:rPr>
          <w:lang w:val="en-US"/>
        </w:rPr>
      </w:pPr>
    </w:p>
    <w:p w14:paraId="1A393834" w14:textId="4088756A" w:rsidR="00364E6F" w:rsidRDefault="00364E6F" w:rsidP="000D6C33">
      <w:pPr>
        <w:tabs>
          <w:tab w:val="left" w:pos="810"/>
        </w:tabs>
        <w:rPr>
          <w:lang w:val="en-US"/>
        </w:rPr>
      </w:pPr>
    </w:p>
    <w:sectPr w:rsidR="00364E6F">
      <w:headerReference w:type="default" r:id="rId12"/>
      <w:footerReference w:type="default" r:id="rId13"/>
      <w:pgSz w:w="11907" w:h="16840" w:code="9"/>
      <w:pgMar w:top="1699" w:right="1411" w:bottom="850" w:left="1411" w:header="850" w:footer="562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43900" w14:textId="77777777" w:rsidR="00456A3C" w:rsidRDefault="00456A3C">
      <w:r>
        <w:separator/>
      </w:r>
    </w:p>
  </w:endnote>
  <w:endnote w:type="continuationSeparator" w:id="0">
    <w:p w14:paraId="6C248E21" w14:textId="77777777" w:rsidR="00456A3C" w:rsidRDefault="00456A3C">
      <w:r>
        <w:continuationSeparator/>
      </w:r>
    </w:p>
  </w:endnote>
  <w:endnote w:type="continuationNotice" w:id="1">
    <w:p w14:paraId="718D3770" w14:textId="77777777" w:rsidR="00456A3C" w:rsidRDefault="00456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AAAAM+TimesNewRomanPS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85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48"/>
      <w:gridCol w:w="4537"/>
    </w:tblGrid>
    <w:tr w:rsidR="00265CDC" w14:paraId="210B3010" w14:textId="77777777">
      <w:tc>
        <w:tcPr>
          <w:tcW w:w="4548" w:type="dxa"/>
        </w:tcPr>
        <w:p w14:paraId="26CF14F6" w14:textId="77777777" w:rsidR="00265CDC" w:rsidRDefault="00265CDC" w:rsidP="00265C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color w:val="000000"/>
            </w:rPr>
            <w:t>IP Template Rev 7, dated 01 October 2022</w:t>
          </w:r>
        </w:p>
      </w:tc>
      <w:tc>
        <w:tcPr>
          <w:tcW w:w="4537" w:type="dxa"/>
        </w:tcPr>
        <w:p w14:paraId="7163E9BF" w14:textId="77777777" w:rsidR="00265CDC" w:rsidRDefault="00265CDC" w:rsidP="00265C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>PAGE</w:instrText>
          </w:r>
          <w:r>
            <w:rPr>
              <w:b/>
              <w:color w:val="000000"/>
            </w:rPr>
            <w:fldChar w:fldCharType="separate"/>
          </w:r>
          <w:r>
            <w:rPr>
              <w:b/>
              <w:noProof/>
              <w:color w:val="000000"/>
            </w:rPr>
            <w:t>1</w:t>
          </w:r>
          <w:r>
            <w:rPr>
              <w:b/>
              <w:color w:val="000000"/>
            </w:rPr>
            <w:fldChar w:fldCharType="end"/>
          </w:r>
          <w:r>
            <w:rPr>
              <w:color w:val="000000"/>
            </w:rPr>
            <w:t xml:space="preserve"> of </w:t>
          </w: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>NUMPAGES</w:instrText>
          </w:r>
          <w:r>
            <w:rPr>
              <w:b/>
              <w:color w:val="000000"/>
            </w:rPr>
            <w:fldChar w:fldCharType="separate"/>
          </w:r>
          <w:r>
            <w:rPr>
              <w:b/>
              <w:noProof/>
              <w:color w:val="000000"/>
            </w:rPr>
            <w:t>2</w:t>
          </w:r>
          <w:r>
            <w:rPr>
              <w:b/>
              <w:color w:val="000000"/>
            </w:rPr>
            <w:fldChar w:fldCharType="end"/>
          </w:r>
          <w:r>
            <w:rPr>
              <w:color w:val="000000"/>
            </w:rPr>
            <w:t xml:space="preserve"> </w:t>
          </w:r>
        </w:p>
      </w:tc>
    </w:tr>
  </w:tbl>
  <w:p w14:paraId="7F58008F" w14:textId="7D45BBB8" w:rsidR="00866507" w:rsidRPr="00D723D2" w:rsidRDefault="0086650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E3E31" w14:textId="77777777" w:rsidR="00456A3C" w:rsidRDefault="00456A3C">
      <w:r>
        <w:separator/>
      </w:r>
    </w:p>
  </w:footnote>
  <w:footnote w:type="continuationSeparator" w:id="0">
    <w:p w14:paraId="77F6CE9A" w14:textId="77777777" w:rsidR="00456A3C" w:rsidRDefault="00456A3C">
      <w:r>
        <w:continuationSeparator/>
      </w:r>
    </w:p>
  </w:footnote>
  <w:footnote w:type="continuationNotice" w:id="1">
    <w:p w14:paraId="6A822B72" w14:textId="77777777" w:rsidR="00456A3C" w:rsidRDefault="00456A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DDF8" w14:textId="7EF53925" w:rsidR="00501674" w:rsidRDefault="00265CDC">
    <w:pPr>
      <w:pStyle w:val="Header"/>
      <w:jc w:val="center"/>
      <w:rPr>
        <w:b/>
        <w:i/>
      </w:rPr>
    </w:pPr>
    <w:r>
      <w:rPr>
        <w:noProof/>
      </w:rPr>
      <w:drawing>
        <wp:inline distT="0" distB="0" distL="0" distR="0" wp14:anchorId="7FF201D5" wp14:editId="023D38C7">
          <wp:extent cx="2837815" cy="549275"/>
          <wp:effectExtent l="0" t="0" r="635" b="3175"/>
          <wp:docPr id="48" name="Picture 48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Picture 48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7815" cy="54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4C3D0D" w14:textId="77777777" w:rsidR="00946023" w:rsidRDefault="00946023">
    <w:pPr>
      <w:pStyle w:val="Header"/>
      <w:jc w:val="center"/>
      <w:rPr>
        <w:b/>
        <w:i/>
      </w:rPr>
    </w:pPr>
  </w:p>
  <w:p w14:paraId="05CED9EB" w14:textId="17DD1797" w:rsidR="00501674" w:rsidRDefault="00501674">
    <w:pPr>
      <w:pStyle w:val="Header"/>
      <w:jc w:val="center"/>
      <w:rPr>
        <w:b/>
        <w:i/>
        <w:sz w:val="20"/>
      </w:rPr>
    </w:pPr>
    <w:r>
      <w:rPr>
        <w:b/>
        <w:i/>
      </w:rPr>
      <w:t>Issue Paper (IP)</w:t>
    </w:r>
  </w:p>
  <w:p w14:paraId="6B8AB6B4" w14:textId="3C7CAA27" w:rsidR="00946023" w:rsidRDefault="00946023" w:rsidP="009A06EC">
    <w:pPr>
      <w:pStyle w:val="Header"/>
      <w:rPr>
        <w:b/>
        <w:i/>
        <w:sz w:val="20"/>
      </w:rPr>
    </w:pPr>
  </w:p>
  <w:p w14:paraId="43900948" w14:textId="27C4716B" w:rsidR="009A06EC" w:rsidRPr="0098454F" w:rsidRDefault="009A06EC" w:rsidP="009A06EC">
    <w:pPr>
      <w:pStyle w:val="Header"/>
      <w:rPr>
        <w:b/>
        <w:i/>
        <w:sz w:val="20"/>
      </w:rPr>
    </w:pPr>
    <w:r w:rsidRPr="0098454F">
      <w:rPr>
        <w:b/>
        <w:i/>
        <w:sz w:val="20"/>
      </w:rPr>
      <w:t>IP Number:</w:t>
    </w:r>
    <w:r w:rsidR="00C25651" w:rsidRPr="00C25651">
      <w:rPr>
        <w:rFonts w:ascii="Arial" w:hAnsi="Arial" w:cs="Arial"/>
        <w:color w:val="0070C0"/>
        <w:szCs w:val="24"/>
      </w:rPr>
      <w:t xml:space="preserve"> </w:t>
    </w:r>
    <w:r w:rsidR="00C25651" w:rsidRPr="007A5B39">
      <w:rPr>
        <w:rFonts w:cs="Arial"/>
        <w:b/>
        <w:bCs/>
        <w:i/>
        <w:iCs/>
        <w:sz w:val="20"/>
        <w:szCs w:val="24"/>
      </w:rPr>
      <w:t xml:space="preserve">CIP </w:t>
    </w:r>
    <w:r w:rsidR="0044012C">
      <w:rPr>
        <w:rFonts w:cs="Arial"/>
        <w:b/>
        <w:bCs/>
        <w:i/>
        <w:iCs/>
        <w:sz w:val="20"/>
        <w:szCs w:val="24"/>
      </w:rPr>
      <w:t>MPIG</w:t>
    </w:r>
    <w:r w:rsidR="00C25651" w:rsidRPr="007A5B39">
      <w:rPr>
        <w:rFonts w:cs="Arial"/>
        <w:b/>
        <w:bCs/>
        <w:i/>
        <w:iCs/>
        <w:sz w:val="20"/>
        <w:szCs w:val="24"/>
      </w:rPr>
      <w:t xml:space="preserve"> 2023-06</w:t>
    </w:r>
  </w:p>
  <w:p w14:paraId="07C0EC98" w14:textId="2E1CBC5E" w:rsidR="00501674" w:rsidRPr="0098454F" w:rsidRDefault="00500A92">
    <w:pPr>
      <w:pStyle w:val="Header"/>
      <w:rPr>
        <w:b/>
        <w:i/>
        <w:sz w:val="20"/>
      </w:rPr>
    </w:pPr>
    <w:r w:rsidRPr="0098454F">
      <w:rPr>
        <w:b/>
        <w:i/>
        <w:sz w:val="20"/>
      </w:rPr>
      <w:t xml:space="preserve">Initial </w:t>
    </w:r>
    <w:r w:rsidR="00501674" w:rsidRPr="0098454F">
      <w:rPr>
        <w:b/>
        <w:i/>
        <w:sz w:val="20"/>
      </w:rPr>
      <w:t>Date</w:t>
    </w:r>
    <w:r w:rsidR="00B00784" w:rsidRPr="0098454F">
      <w:rPr>
        <w:b/>
        <w:i/>
        <w:sz w:val="20"/>
      </w:rPr>
      <w:t xml:space="preserve"> (DD/MMM/YYYY)</w:t>
    </w:r>
    <w:r w:rsidR="0065718E" w:rsidRPr="0098454F">
      <w:rPr>
        <w:b/>
        <w:i/>
        <w:sz w:val="20"/>
      </w:rPr>
      <w:t>:</w:t>
    </w:r>
    <w:r w:rsidR="00202D35" w:rsidRPr="0098454F">
      <w:rPr>
        <w:b/>
        <w:i/>
        <w:sz w:val="20"/>
      </w:rPr>
      <w:t xml:space="preserve"> </w:t>
    </w:r>
    <w:r w:rsidR="0044012C">
      <w:rPr>
        <w:b/>
        <w:i/>
        <w:sz w:val="20"/>
      </w:rPr>
      <w:t>05/03/2024</w:t>
    </w:r>
  </w:p>
  <w:p w14:paraId="0F414A1B" w14:textId="28E5BD5E" w:rsidR="009A06EC" w:rsidRPr="0098454F" w:rsidRDefault="00501674" w:rsidP="009A06EC">
    <w:pPr>
      <w:pStyle w:val="Header"/>
      <w:rPr>
        <w:b/>
        <w:i/>
        <w:sz w:val="20"/>
      </w:rPr>
    </w:pPr>
    <w:r w:rsidRPr="0098454F">
      <w:rPr>
        <w:b/>
        <w:i/>
        <w:sz w:val="20"/>
      </w:rPr>
      <w:t>Rev</w:t>
    </w:r>
    <w:r w:rsidR="006706C0" w:rsidRPr="0098454F">
      <w:rPr>
        <w:b/>
        <w:i/>
        <w:sz w:val="20"/>
      </w:rPr>
      <w:t>ision / Date</w:t>
    </w:r>
    <w:r w:rsidR="00B00784" w:rsidRPr="0098454F">
      <w:rPr>
        <w:b/>
        <w:i/>
        <w:sz w:val="20"/>
      </w:rPr>
      <w:t xml:space="preserve"> (DD/MMM/YYYY):</w:t>
    </w:r>
    <w:r w:rsidR="009A06EC" w:rsidRPr="0098454F">
      <w:rPr>
        <w:b/>
        <w:i/>
        <w:sz w:val="20"/>
      </w:rPr>
      <w:t xml:space="preserve"> </w:t>
    </w:r>
    <w:r w:rsidR="001A684A">
      <w:rPr>
        <w:b/>
        <w:i/>
        <w:sz w:val="20"/>
      </w:rPr>
      <w:t>R1</w:t>
    </w:r>
    <w:r w:rsidR="00780601">
      <w:rPr>
        <w:b/>
        <w:i/>
        <w:sz w:val="20"/>
      </w:rPr>
      <w:t xml:space="preserve"> / </w:t>
    </w:r>
    <w:r w:rsidR="00C01537">
      <w:rPr>
        <w:b/>
        <w:i/>
        <w:sz w:val="20"/>
      </w:rPr>
      <w:t>16/05/2024</w:t>
    </w:r>
  </w:p>
  <w:p w14:paraId="56C49AD7" w14:textId="77777777" w:rsidR="009A06EC" w:rsidRPr="0098454F" w:rsidRDefault="009A06EC" w:rsidP="009A06EC">
    <w:pPr>
      <w:pStyle w:val="Header"/>
      <w:rPr>
        <w:b/>
        <w:i/>
        <w:sz w:val="20"/>
      </w:rPr>
    </w:pPr>
    <w:r w:rsidRPr="0098454F">
      <w:rPr>
        <w:b/>
        <w:i/>
        <w:sz w:val="20"/>
      </w:rPr>
      <w:t>Effective Date (DD/MMM/YYYY):</w:t>
    </w:r>
  </w:p>
  <w:p w14:paraId="4F750A50" w14:textId="481C8B9A" w:rsidR="00501674" w:rsidRDefault="009A06EC">
    <w:pPr>
      <w:pStyle w:val="Header"/>
      <w:rPr>
        <w:b/>
        <w:i/>
        <w:sz w:val="20"/>
      </w:rPr>
    </w:pPr>
    <w:r w:rsidRPr="0098454F">
      <w:rPr>
        <w:b/>
        <w:i/>
        <w:sz w:val="20"/>
      </w:rPr>
      <w:t>Retroactivity (N):</w:t>
    </w:r>
    <w:r w:rsidR="001E126F">
      <w:rPr>
        <w:b/>
        <w:i/>
        <w:sz w:val="20"/>
      </w:rPr>
      <w:t xml:space="preserve"> </w:t>
    </w:r>
    <w:r w:rsidR="00E92BB7">
      <w:rPr>
        <w:b/>
        <w:i/>
        <w:sz w:val="20"/>
      </w:rPr>
      <w:t>N</w:t>
    </w:r>
  </w:p>
  <w:p w14:paraId="58198198" w14:textId="77777777" w:rsidR="001E126F" w:rsidRPr="0098454F" w:rsidRDefault="001E126F">
    <w:pPr>
      <w:pStyle w:val="Header"/>
      <w:rPr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4199F"/>
    <w:multiLevelType w:val="hybridMultilevel"/>
    <w:tmpl w:val="4DBA64CE"/>
    <w:lvl w:ilvl="0" w:tplc="04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" w15:restartNumberingAfterBreak="0">
    <w:nsid w:val="0B526F2D"/>
    <w:multiLevelType w:val="hybridMultilevel"/>
    <w:tmpl w:val="C772DC58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 w15:restartNumberingAfterBreak="0">
    <w:nsid w:val="35DB5C04"/>
    <w:multiLevelType w:val="hybridMultilevel"/>
    <w:tmpl w:val="F782D542"/>
    <w:lvl w:ilvl="0" w:tplc="0409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37CA79F0"/>
    <w:multiLevelType w:val="hybridMultilevel"/>
    <w:tmpl w:val="58E247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A185B13"/>
    <w:multiLevelType w:val="hybridMultilevel"/>
    <w:tmpl w:val="5AD285DA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1665281560">
    <w:abstractNumId w:val="3"/>
  </w:num>
  <w:num w:numId="2" w16cid:durableId="151722808">
    <w:abstractNumId w:val="4"/>
  </w:num>
  <w:num w:numId="3" w16cid:durableId="917789416">
    <w:abstractNumId w:val="1"/>
  </w:num>
  <w:num w:numId="4" w16cid:durableId="1996955721">
    <w:abstractNumId w:val="2"/>
  </w:num>
  <w:num w:numId="5" w16cid:durableId="2030598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C2A"/>
    <w:rsid w:val="00003D32"/>
    <w:rsid w:val="00036780"/>
    <w:rsid w:val="00053C71"/>
    <w:rsid w:val="000605A4"/>
    <w:rsid w:val="00062602"/>
    <w:rsid w:val="00064DDD"/>
    <w:rsid w:val="00066071"/>
    <w:rsid w:val="0006632D"/>
    <w:rsid w:val="000679B9"/>
    <w:rsid w:val="00073A9A"/>
    <w:rsid w:val="00081070"/>
    <w:rsid w:val="0008112C"/>
    <w:rsid w:val="0008221C"/>
    <w:rsid w:val="00094FBE"/>
    <w:rsid w:val="000B4739"/>
    <w:rsid w:val="000B7334"/>
    <w:rsid w:val="000B79BE"/>
    <w:rsid w:val="000D1E52"/>
    <w:rsid w:val="000D6C33"/>
    <w:rsid w:val="000E1753"/>
    <w:rsid w:val="000F2D75"/>
    <w:rsid w:val="000F67E9"/>
    <w:rsid w:val="0011056B"/>
    <w:rsid w:val="00117CCC"/>
    <w:rsid w:val="00132627"/>
    <w:rsid w:val="00135850"/>
    <w:rsid w:val="00135E83"/>
    <w:rsid w:val="00144705"/>
    <w:rsid w:val="001462CB"/>
    <w:rsid w:val="00162FCA"/>
    <w:rsid w:val="00183A25"/>
    <w:rsid w:val="00184B74"/>
    <w:rsid w:val="00192F91"/>
    <w:rsid w:val="0019510F"/>
    <w:rsid w:val="00196B7D"/>
    <w:rsid w:val="00197F76"/>
    <w:rsid w:val="001A684A"/>
    <w:rsid w:val="001B0077"/>
    <w:rsid w:val="001B7D5D"/>
    <w:rsid w:val="001C4A7A"/>
    <w:rsid w:val="001E126F"/>
    <w:rsid w:val="001E1E0B"/>
    <w:rsid w:val="001E6F30"/>
    <w:rsid w:val="001E77E4"/>
    <w:rsid w:val="00202D35"/>
    <w:rsid w:val="002107E7"/>
    <w:rsid w:val="00217EF7"/>
    <w:rsid w:val="00265CDC"/>
    <w:rsid w:val="00297F00"/>
    <w:rsid w:val="002A247E"/>
    <w:rsid w:val="002C75F9"/>
    <w:rsid w:val="002E0D89"/>
    <w:rsid w:val="002F2301"/>
    <w:rsid w:val="00300216"/>
    <w:rsid w:val="00304051"/>
    <w:rsid w:val="003077A2"/>
    <w:rsid w:val="003165EB"/>
    <w:rsid w:val="00327A2E"/>
    <w:rsid w:val="00345B23"/>
    <w:rsid w:val="003523A0"/>
    <w:rsid w:val="00362EB8"/>
    <w:rsid w:val="00364E6F"/>
    <w:rsid w:val="003A0E2B"/>
    <w:rsid w:val="003B0617"/>
    <w:rsid w:val="003C65BA"/>
    <w:rsid w:val="003D136B"/>
    <w:rsid w:val="003D1F11"/>
    <w:rsid w:val="003D5426"/>
    <w:rsid w:val="003E175A"/>
    <w:rsid w:val="003F3F4E"/>
    <w:rsid w:val="00400FA9"/>
    <w:rsid w:val="004171E3"/>
    <w:rsid w:val="004223E2"/>
    <w:rsid w:val="00426D23"/>
    <w:rsid w:val="004278C8"/>
    <w:rsid w:val="0044012C"/>
    <w:rsid w:val="004414C9"/>
    <w:rsid w:val="00456A3C"/>
    <w:rsid w:val="00462A6A"/>
    <w:rsid w:val="00463525"/>
    <w:rsid w:val="004751DA"/>
    <w:rsid w:val="00495535"/>
    <w:rsid w:val="004A0DBB"/>
    <w:rsid w:val="004A76CE"/>
    <w:rsid w:val="004B0A6A"/>
    <w:rsid w:val="004D6EB1"/>
    <w:rsid w:val="004F760B"/>
    <w:rsid w:val="00500A92"/>
    <w:rsid w:val="00501674"/>
    <w:rsid w:val="00502623"/>
    <w:rsid w:val="00540D35"/>
    <w:rsid w:val="0058006A"/>
    <w:rsid w:val="005909EC"/>
    <w:rsid w:val="00592B01"/>
    <w:rsid w:val="005A30D1"/>
    <w:rsid w:val="005A5152"/>
    <w:rsid w:val="005B3C2A"/>
    <w:rsid w:val="005B5AAC"/>
    <w:rsid w:val="005C0721"/>
    <w:rsid w:val="005C15CD"/>
    <w:rsid w:val="005D095A"/>
    <w:rsid w:val="005D3A8F"/>
    <w:rsid w:val="005D43EE"/>
    <w:rsid w:val="005D529C"/>
    <w:rsid w:val="005E257A"/>
    <w:rsid w:val="005F3B3E"/>
    <w:rsid w:val="005F4CB2"/>
    <w:rsid w:val="005F5910"/>
    <w:rsid w:val="005F7FCE"/>
    <w:rsid w:val="00605C50"/>
    <w:rsid w:val="00610483"/>
    <w:rsid w:val="00611E69"/>
    <w:rsid w:val="00635366"/>
    <w:rsid w:val="0064492C"/>
    <w:rsid w:val="0065139A"/>
    <w:rsid w:val="0065718E"/>
    <w:rsid w:val="00660C0A"/>
    <w:rsid w:val="00662C2D"/>
    <w:rsid w:val="0066438D"/>
    <w:rsid w:val="006706C0"/>
    <w:rsid w:val="00696603"/>
    <w:rsid w:val="006A48CE"/>
    <w:rsid w:val="006D024B"/>
    <w:rsid w:val="006D5DC5"/>
    <w:rsid w:val="006E047C"/>
    <w:rsid w:val="006E3771"/>
    <w:rsid w:val="00705E7E"/>
    <w:rsid w:val="00715AF6"/>
    <w:rsid w:val="00716668"/>
    <w:rsid w:val="00717192"/>
    <w:rsid w:val="0072212D"/>
    <w:rsid w:val="007329AA"/>
    <w:rsid w:val="00733BC2"/>
    <w:rsid w:val="00750E3C"/>
    <w:rsid w:val="0076142D"/>
    <w:rsid w:val="00762C8A"/>
    <w:rsid w:val="00763AFB"/>
    <w:rsid w:val="007700DB"/>
    <w:rsid w:val="00780601"/>
    <w:rsid w:val="007841CA"/>
    <w:rsid w:val="00792033"/>
    <w:rsid w:val="007957CF"/>
    <w:rsid w:val="007A5B39"/>
    <w:rsid w:val="007B0BBE"/>
    <w:rsid w:val="007B15B7"/>
    <w:rsid w:val="007B7A62"/>
    <w:rsid w:val="007C7A05"/>
    <w:rsid w:val="007D0BAA"/>
    <w:rsid w:val="007D1178"/>
    <w:rsid w:val="007D39E7"/>
    <w:rsid w:val="007E50D6"/>
    <w:rsid w:val="007E5BFA"/>
    <w:rsid w:val="007E71B4"/>
    <w:rsid w:val="0081568F"/>
    <w:rsid w:val="00817891"/>
    <w:rsid w:val="00824C3F"/>
    <w:rsid w:val="00826C73"/>
    <w:rsid w:val="008318D8"/>
    <w:rsid w:val="008408D1"/>
    <w:rsid w:val="00847281"/>
    <w:rsid w:val="00850ED4"/>
    <w:rsid w:val="00856602"/>
    <w:rsid w:val="00865CD6"/>
    <w:rsid w:val="00866507"/>
    <w:rsid w:val="008811E6"/>
    <w:rsid w:val="008A797A"/>
    <w:rsid w:val="008A7C2D"/>
    <w:rsid w:val="008B1B08"/>
    <w:rsid w:val="008B3C83"/>
    <w:rsid w:val="008B7586"/>
    <w:rsid w:val="00901FBC"/>
    <w:rsid w:val="00903E64"/>
    <w:rsid w:val="00917671"/>
    <w:rsid w:val="009224EE"/>
    <w:rsid w:val="0093496B"/>
    <w:rsid w:val="00942654"/>
    <w:rsid w:val="00942C42"/>
    <w:rsid w:val="00946023"/>
    <w:rsid w:val="00955995"/>
    <w:rsid w:val="009560D4"/>
    <w:rsid w:val="009570C1"/>
    <w:rsid w:val="00962D5D"/>
    <w:rsid w:val="00965870"/>
    <w:rsid w:val="00970A17"/>
    <w:rsid w:val="0097428A"/>
    <w:rsid w:val="0098454F"/>
    <w:rsid w:val="009904CD"/>
    <w:rsid w:val="009953E6"/>
    <w:rsid w:val="00995551"/>
    <w:rsid w:val="009A06EC"/>
    <w:rsid w:val="009A6A80"/>
    <w:rsid w:val="009B51C8"/>
    <w:rsid w:val="009C729C"/>
    <w:rsid w:val="009D11C7"/>
    <w:rsid w:val="009D75EF"/>
    <w:rsid w:val="009E3324"/>
    <w:rsid w:val="009E569A"/>
    <w:rsid w:val="009E6DED"/>
    <w:rsid w:val="009F189B"/>
    <w:rsid w:val="00A10230"/>
    <w:rsid w:val="00A1706D"/>
    <w:rsid w:val="00A4636B"/>
    <w:rsid w:val="00A72EFD"/>
    <w:rsid w:val="00A84903"/>
    <w:rsid w:val="00A8680D"/>
    <w:rsid w:val="00AA42E0"/>
    <w:rsid w:val="00AA55C6"/>
    <w:rsid w:val="00AB11E0"/>
    <w:rsid w:val="00AB42BB"/>
    <w:rsid w:val="00AC7F4A"/>
    <w:rsid w:val="00AD3B62"/>
    <w:rsid w:val="00AE12A2"/>
    <w:rsid w:val="00AE15FF"/>
    <w:rsid w:val="00AE6FF3"/>
    <w:rsid w:val="00AE72C0"/>
    <w:rsid w:val="00AF70CD"/>
    <w:rsid w:val="00B00784"/>
    <w:rsid w:val="00B0206A"/>
    <w:rsid w:val="00B052BE"/>
    <w:rsid w:val="00B05CD9"/>
    <w:rsid w:val="00B2448E"/>
    <w:rsid w:val="00B34B42"/>
    <w:rsid w:val="00B3542A"/>
    <w:rsid w:val="00B44962"/>
    <w:rsid w:val="00B741FF"/>
    <w:rsid w:val="00B84871"/>
    <w:rsid w:val="00B9722A"/>
    <w:rsid w:val="00BA2DB9"/>
    <w:rsid w:val="00BB3D6C"/>
    <w:rsid w:val="00BD5D24"/>
    <w:rsid w:val="00BE4F2C"/>
    <w:rsid w:val="00BF776A"/>
    <w:rsid w:val="00C01537"/>
    <w:rsid w:val="00C11297"/>
    <w:rsid w:val="00C12D93"/>
    <w:rsid w:val="00C135C8"/>
    <w:rsid w:val="00C25651"/>
    <w:rsid w:val="00C32CD7"/>
    <w:rsid w:val="00C3650D"/>
    <w:rsid w:val="00C535CA"/>
    <w:rsid w:val="00C56A8E"/>
    <w:rsid w:val="00C62CEF"/>
    <w:rsid w:val="00C6557C"/>
    <w:rsid w:val="00C722F6"/>
    <w:rsid w:val="00C76DC1"/>
    <w:rsid w:val="00C830A4"/>
    <w:rsid w:val="00C86854"/>
    <w:rsid w:val="00CA4126"/>
    <w:rsid w:val="00CA5814"/>
    <w:rsid w:val="00CA6859"/>
    <w:rsid w:val="00CB57F4"/>
    <w:rsid w:val="00CD4A74"/>
    <w:rsid w:val="00CD7F67"/>
    <w:rsid w:val="00CE218C"/>
    <w:rsid w:val="00CE5DAA"/>
    <w:rsid w:val="00CE5E7E"/>
    <w:rsid w:val="00CE6A82"/>
    <w:rsid w:val="00CE7204"/>
    <w:rsid w:val="00CF38BF"/>
    <w:rsid w:val="00D2604F"/>
    <w:rsid w:val="00D3738C"/>
    <w:rsid w:val="00D50A00"/>
    <w:rsid w:val="00D64CDD"/>
    <w:rsid w:val="00D723D2"/>
    <w:rsid w:val="00D76F0C"/>
    <w:rsid w:val="00D861D2"/>
    <w:rsid w:val="00D93989"/>
    <w:rsid w:val="00D93E44"/>
    <w:rsid w:val="00DA649D"/>
    <w:rsid w:val="00DB6BC2"/>
    <w:rsid w:val="00DD75BA"/>
    <w:rsid w:val="00DE137B"/>
    <w:rsid w:val="00E001C2"/>
    <w:rsid w:val="00E00AA1"/>
    <w:rsid w:val="00E1349A"/>
    <w:rsid w:val="00E152F1"/>
    <w:rsid w:val="00E24EA7"/>
    <w:rsid w:val="00E366DC"/>
    <w:rsid w:val="00E36E40"/>
    <w:rsid w:val="00E42105"/>
    <w:rsid w:val="00E71C4A"/>
    <w:rsid w:val="00E73CA1"/>
    <w:rsid w:val="00E80A91"/>
    <w:rsid w:val="00E92BB7"/>
    <w:rsid w:val="00E95A59"/>
    <w:rsid w:val="00EA0A78"/>
    <w:rsid w:val="00EA4FE1"/>
    <w:rsid w:val="00ED30D6"/>
    <w:rsid w:val="00ED34BD"/>
    <w:rsid w:val="00F10628"/>
    <w:rsid w:val="00F42055"/>
    <w:rsid w:val="00F4482B"/>
    <w:rsid w:val="00F804E5"/>
    <w:rsid w:val="00F95115"/>
    <w:rsid w:val="00FD0355"/>
    <w:rsid w:val="00FE4DB0"/>
    <w:rsid w:val="00FF5607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F87898"/>
  <w15:chartTrackingRefBased/>
  <w15:docId w15:val="{D3638B47-4C4E-49F6-BFEE-D3C368DE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paragraph" w:styleId="BalloonText">
    <w:name w:val="Balloon Text"/>
    <w:basedOn w:val="Normal"/>
    <w:link w:val="BalloonTextChar"/>
    <w:rsid w:val="008665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66507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202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92C"/>
    <w:pPr>
      <w:ind w:left="720"/>
      <w:contextualSpacing/>
    </w:pPr>
  </w:style>
  <w:style w:type="paragraph" w:styleId="Revision">
    <w:name w:val="Revision"/>
    <w:hidden/>
    <w:uiPriority w:val="99"/>
    <w:semiHidden/>
    <w:rsid w:val="000D1E52"/>
    <w:rPr>
      <w:sz w:val="24"/>
      <w:lang w:val="en-GB"/>
    </w:rPr>
  </w:style>
  <w:style w:type="paragraph" w:customStyle="1" w:styleId="Default">
    <w:name w:val="Default"/>
    <w:rsid w:val="00196B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462A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2A6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62A6A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2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2A6A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b4a11f6-e94d-4576-be85-52ac4dcec5d3">Open</Status>
    <_dlc_DocId xmlns="5234cc04-fb80-47b0-b1db-025b0f7bfe59">6A7AYNEQ7WMH-587465438-3448</_dlc_DocId>
    <_dlc_DocIdUrl xmlns="5234cc04-fb80-47b0-b1db-025b0f7bfe59">
      <Url>https://portal.airlines.org/os/emmc/mpig/_layouts/15/DocIdRedir.aspx?ID=6A7AYNEQ7WMH-587465438-3448</Url>
      <Description>6A7AYNEQ7WMH-587465438-3448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CCE8A554DA745A5521A7F62EDC27A" ma:contentTypeVersion="8" ma:contentTypeDescription="Create a new document." ma:contentTypeScope="" ma:versionID="d503fc3880648a8816ce423dd2ba5ad0">
  <xsd:schema xmlns:xsd="http://www.w3.org/2001/XMLSchema" xmlns:xs="http://www.w3.org/2001/XMLSchema" xmlns:p="http://schemas.microsoft.com/office/2006/metadata/properties" xmlns:ns2="eb4a11f6-e94d-4576-be85-52ac4dcec5d3" xmlns:ns3="5234cc04-fb80-47b0-b1db-025b0f7bfe59" targetNamespace="http://schemas.microsoft.com/office/2006/metadata/properties" ma:root="true" ma:fieldsID="3632a7d796b4361bb4045ac140bd07bc" ns2:_="" ns3:_="">
    <xsd:import namespace="eb4a11f6-e94d-4576-be85-52ac4dcec5d3"/>
    <xsd:import namespace="5234cc04-fb80-47b0-b1db-025b0f7bfe59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a11f6-e94d-4576-be85-52ac4dcec5d3" elementFormDefault="qualified">
    <xsd:import namespace="http://schemas.microsoft.com/office/2006/documentManagement/types"/>
    <xsd:import namespace="http://schemas.microsoft.com/office/infopath/2007/PartnerControls"/>
    <xsd:element name="Status" ma:index="9" nillable="true" ma:displayName="Status" ma:description="States whether the issue paper is Open or Closed" ma:format="RadioButtons" ma:internalName="Status">
      <xsd:simpleType>
        <xsd:union memberTypes="dms:Text">
          <xsd:simpleType>
            <xsd:restriction base="dms:Choice">
              <xsd:enumeration value="Open"/>
              <xsd:enumeration value="Closed"/>
              <xsd:enumeration value="N/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4cc04-fb80-47b0-b1db-025b0f7bfe5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4568D-C764-49AA-B832-588210D3CC30}">
  <ds:schemaRefs>
    <ds:schemaRef ds:uri="http://schemas.microsoft.com/office/2006/metadata/properties"/>
    <ds:schemaRef ds:uri="http://schemas.microsoft.com/office/infopath/2007/PartnerControls"/>
    <ds:schemaRef ds:uri="eb4a11f6-e94d-4576-be85-52ac4dcec5d3"/>
    <ds:schemaRef ds:uri="5234cc04-fb80-47b0-b1db-025b0f7bfe59"/>
  </ds:schemaRefs>
</ds:datastoreItem>
</file>

<file path=customXml/itemProps2.xml><?xml version="1.0" encoding="utf-8"?>
<ds:datastoreItem xmlns:ds="http://schemas.openxmlformats.org/officeDocument/2006/customXml" ds:itemID="{262A7341-1364-4708-BDDE-8A00E0CAF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a11f6-e94d-4576-be85-52ac4dcec5d3"/>
    <ds:schemaRef ds:uri="5234cc04-fb80-47b0-b1db-025b0f7bf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32956C-0C3F-4FCC-9724-F789515F6F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D6FDC2-94D0-401E-BCAA-8CF229F8120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7330D96-26B3-454D-A3BA-5A3456874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IMRBPB Issue Paper Template - Rev 6 - 09 May 2019</vt:lpstr>
    </vt:vector>
  </TitlesOfParts>
  <Company>Central JAA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IMRBPB Issue Paper Template - Rev 6 - 09 May 2019</dc:title>
  <dc:subject/>
  <dc:creator>8040dysz5563</dc:creator>
  <cp:keywords/>
  <cp:lastModifiedBy>IOVINELLA Raffaele</cp:lastModifiedBy>
  <cp:revision>12</cp:revision>
  <cp:lastPrinted>2024-03-06T19:24:00Z</cp:lastPrinted>
  <dcterms:created xsi:type="dcterms:W3CDTF">2024-06-12T14:05:00Z</dcterms:created>
  <dcterms:modified xsi:type="dcterms:W3CDTF">2024-07-19T12:26:00Z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0x010100A30CCE8A554DA745A5521A7F62EDC27A</vt:lpwstr>
  </property>
  <property fmtid="{D5CDD505-2E9C-101B-9397-08002B2CF9AE}" pid="3" name="Order">
    <vt:r8>147700</vt:r8>
  </property>
  <property fmtid="{D5CDD505-2E9C-101B-9397-08002B2CF9AE}" pid="4" name="URL">
    <vt:lpwstr/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Is Industry Member Appropriate">
    <vt:bool>false</vt:bool>
  </property>
  <property fmtid="{D5CDD505-2E9C-101B-9397-08002B2CF9AE}" pid="8" name="_dlc_DocIdItemGuid">
    <vt:lpwstr>45137e07-60f9-4950-9515-c888225d8cfd</vt:lpwstr>
  </property>
</Properties>
</file>