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585DE42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E869D40" w:rsidR="00D6633F" w:rsidRPr="00AA702B" w:rsidRDefault="00D6633F" w:rsidP="00EB75B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EB75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0D4B8E06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B75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269433B4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E904AB9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208F55E1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F99F62B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5085BCF1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35AE43F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97323F6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B81" w14:textId="77777777" w:rsidR="00BD43AB" w:rsidRDefault="00BD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EA0" w14:textId="77777777" w:rsidR="00BD43AB" w:rsidRDefault="00BD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2081" w14:textId="77777777" w:rsidR="00BD43AB" w:rsidRDefault="00BD4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485587B5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EB75BB">
      <w:rPr>
        <w:rFonts w:asciiTheme="minorHAnsi" w:hAnsiTheme="minorHAnsi"/>
        <w:b/>
        <w:sz w:val="22"/>
        <w:szCs w:val="22"/>
      </w:rPr>
      <w:t>EASA</w:t>
    </w:r>
    <w:r w:rsidR="00BD43AB">
      <w:rPr>
        <w:rFonts w:asciiTheme="minorHAnsi" w:hAnsiTheme="minorHAnsi"/>
        <w:b/>
        <w:sz w:val="22"/>
        <w:szCs w:val="22"/>
      </w:rPr>
      <w:t xml:space="preserve"> </w:t>
    </w:r>
    <w:r w:rsidRPr="00EB75BB">
      <w:rPr>
        <w:rFonts w:asciiTheme="minorHAnsi" w:hAnsiTheme="minorHAnsi"/>
        <w:b/>
        <w:sz w:val="22"/>
        <w:szCs w:val="22"/>
      </w:rPr>
      <w:t>–</w:t>
    </w:r>
    <w:r w:rsidR="00365CB6" w:rsidRPr="00EB75BB">
      <w:rPr>
        <w:rFonts w:asciiTheme="minorHAnsi" w:hAnsiTheme="minorHAnsi"/>
        <w:b/>
        <w:sz w:val="22"/>
        <w:szCs w:val="22"/>
      </w:rPr>
      <w:t xml:space="preserve"> </w:t>
    </w:r>
    <w:r w:rsidR="00EB75BB" w:rsidRPr="00EB75BB">
      <w:rPr>
        <w:rFonts w:asciiTheme="minorHAnsi" w:hAnsiTheme="minorHAnsi"/>
        <w:b/>
        <w:sz w:val="22"/>
        <w:szCs w:val="22"/>
      </w:rPr>
      <w:t xml:space="preserve">Proposed Special Condition: Installation of </w:t>
    </w:r>
    <w:r w:rsidR="0098669C">
      <w:rPr>
        <w:rFonts w:asciiTheme="minorHAnsi" w:hAnsiTheme="minorHAnsi"/>
        <w:b/>
        <w:sz w:val="22"/>
        <w:szCs w:val="22"/>
      </w:rPr>
      <w:t xml:space="preserve">a </w:t>
    </w:r>
    <w:r w:rsidR="00EB75BB" w:rsidRPr="00EB75BB">
      <w:rPr>
        <w:rFonts w:asciiTheme="minorHAnsi" w:hAnsiTheme="minorHAnsi"/>
        <w:b/>
        <w:sz w:val="22"/>
        <w:szCs w:val="22"/>
      </w:rPr>
      <w:t>Head Mounted Display on a CS29 Rotorcraft</w:t>
    </w:r>
    <w:r w:rsidR="00360406" w:rsidRPr="00EB75BB">
      <w:rPr>
        <w:rFonts w:asciiTheme="minorHAnsi" w:hAnsiTheme="minorHAnsi"/>
        <w:b/>
        <w:sz w:val="22"/>
        <w:szCs w:val="22"/>
      </w:rPr>
      <w:t xml:space="preserve"> </w:t>
    </w:r>
    <w:r w:rsidR="00BD43AB">
      <w:rPr>
        <w:rFonts w:asciiTheme="minorHAnsi" w:hAnsiTheme="minorHAnsi"/>
        <w:b/>
        <w:sz w:val="22"/>
        <w:szCs w:val="22"/>
      </w:rPr>
      <w:t xml:space="preserve"> </w:t>
    </w:r>
    <w:r w:rsidRPr="00EB75BB">
      <w:rPr>
        <w:rFonts w:asciiTheme="minorHAnsi" w:hAnsiTheme="minorHAnsi"/>
        <w:b/>
        <w:sz w:val="22"/>
        <w:szCs w:val="22"/>
      </w:rPr>
      <w:t>–</w:t>
    </w:r>
    <w:r w:rsidR="00BD43AB">
      <w:rPr>
        <w:rFonts w:asciiTheme="minorHAnsi" w:hAnsiTheme="minorHAnsi"/>
        <w:b/>
        <w:sz w:val="22"/>
        <w:szCs w:val="22"/>
      </w:rPr>
      <w:t xml:space="preserve"> </w:t>
    </w:r>
    <w:r w:rsidR="00EB75BB" w:rsidRPr="00EB75BB">
      <w:rPr>
        <w:rFonts w:asciiTheme="minorHAnsi" w:hAnsiTheme="minorHAnsi"/>
        <w:b/>
        <w:sz w:val="22"/>
        <w:szCs w:val="22"/>
      </w:rPr>
      <w:t>SC-HMD29-01</w:t>
    </w:r>
    <w:r w:rsidR="00BD43AB">
      <w:rPr>
        <w:rFonts w:asciiTheme="minorHAnsi" w:hAnsiTheme="minorHAnsi"/>
        <w:b/>
        <w:sz w:val="22"/>
        <w:szCs w:val="22"/>
      </w:rPr>
      <w:t xml:space="preserve"> –</w:t>
    </w:r>
    <w:r w:rsidR="0081463B" w:rsidRPr="00EB75BB">
      <w:rPr>
        <w:rFonts w:asciiTheme="minorHAnsi" w:hAnsiTheme="minorHAnsi"/>
        <w:b/>
        <w:sz w:val="22"/>
        <w:szCs w:val="22"/>
      </w:rPr>
      <w:t xml:space="preserve"> </w:t>
    </w:r>
    <w:r w:rsidRPr="00EB75BB">
      <w:rPr>
        <w:rFonts w:asciiTheme="minorHAnsi" w:hAnsiTheme="minorHAnsi"/>
        <w:b/>
        <w:sz w:val="22"/>
        <w:szCs w:val="22"/>
      </w:rPr>
      <w:t>Comment</w:t>
    </w:r>
    <w:r w:rsidR="00BD43AB">
      <w:rPr>
        <w:rFonts w:asciiTheme="minorHAnsi" w:hAnsiTheme="minorHAnsi"/>
        <w:b/>
        <w:sz w:val="22"/>
        <w:szCs w:val="22"/>
      </w:rPr>
      <w:t xml:space="preserve"> </w:t>
    </w:r>
    <w:r w:rsidRPr="00EB75BB">
      <w:rPr>
        <w:rFonts w:asciiTheme="minorHAnsi" w:hAnsiTheme="minorHAnsi"/>
        <w:b/>
        <w:sz w:val="22"/>
        <w:szCs w:val="22"/>
      </w:rPr>
      <w:t>Response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5DD6" w14:textId="77777777" w:rsidR="00BD43AB" w:rsidRDefault="00BD4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669C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43AB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B75BB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LOPEZ BLAS Oswaldo</cp:lastModifiedBy>
  <cp:revision>5</cp:revision>
  <cp:lastPrinted>2014-12-17T12:50:00Z</cp:lastPrinted>
  <dcterms:created xsi:type="dcterms:W3CDTF">2021-06-11T10:59:00Z</dcterms:created>
  <dcterms:modified xsi:type="dcterms:W3CDTF">2022-03-23T09:49:00Z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  <property fmtid="{D5CDD505-2E9C-101B-9397-08002B2CF9AE}" pid="13" name="_SharedFileIndex">
    <vt:lpwstr/>
  </property>
  <property fmtid="{D5CDD505-2E9C-101B-9397-08002B2CF9AE}" pid="14" name="_SourceUrl">
    <vt:lpwstr/>
  </property>
</Properties>
</file>